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55166"/>
      <w:r>
        <w:t>General</w:t>
      </w:r>
      <w:bookmarkEnd w:id="0"/>
    </w:p>
    <w:p>
      <w:pPr>
        <w:pStyle w:val="Heading2"/>
      </w:pPr>
      <w:bookmarkStart w:id="1" w:name="_Toc86755167"/>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following features:</w:t>
      </w:r>
    </w:p>
    <w:p>
      <w:pPr>
        <w:pStyle w:val="ListParagraph"/>
        <w:numPr>
          <w:ilvl w:val="0"/>
          <w:numId w:val="21"/>
        </w:numPr>
      </w:pPr>
      <w:r>
        <w:t>New packet framing with added integrity checking for packets greater than 6-bytes inclusive of X-OR checksum.</w:t>
      </w:r>
    </w:p>
    <w:p>
      <w:pPr>
        <w:pStyle w:val="ListParagraph"/>
        <w:numPr>
          <w:ilvl w:val="0"/>
          <w:numId w:val="21"/>
        </w:numPr>
      </w:pPr>
      <w:r>
        <w:t>Bulk data transfers to/from Decoder.</w:t>
      </w:r>
    </w:p>
    <w:p>
      <w:pPr>
        <w:pStyle w:val="ListParagraph"/>
        <w:numPr>
          <w:ilvl w:val="0"/>
          <w:numId w:val="21"/>
        </w:numPr>
      </w:pPr>
      <w:r>
        <w:t>Ability to address a Decoder by its 7-bit or 14-bit DCC mobile address, or 9-bit or 11-bit DCC accessory address and send it commands</w:t>
      </w:r>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2" w:name="_Toc86755168"/>
      <w:r>
        <w:t>References</w:t>
      </w:r>
      <w:bookmarkEnd w:id="2"/>
    </w:p>
    <w:p>
      <w:r>
        <w:t>This standard should be interpreted in the context of the following NMRA Standards, Technical Notes, and Technical Information.</w:t>
      </w:r>
    </w:p>
    <w:p>
      <w:pPr>
        <w:pStyle w:val="Heading3"/>
      </w:pPr>
      <w:bookmarkStart w:id="3" w:name="_Toc86755169"/>
      <w:r>
        <w:t>Normative</w:t>
      </w:r>
      <w:bookmarkEnd w:id="3"/>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4" w:name="_Toc86755170"/>
      <w:r>
        <w:t>Informative</w:t>
      </w:r>
      <w:bookmarkEnd w:id="4"/>
    </w:p>
    <w:p>
      <w:pPr>
        <w:pStyle w:val="ListParagraph"/>
        <w:numPr>
          <w:ilvl w:val="0"/>
          <w:numId w:val="24"/>
        </w:numPr>
      </w:pPr>
      <w:r>
        <w:t>TN-9.2.1.1 DCC Electrical Standard, which provides commentary on this standard</w:t>
      </w:r>
    </w:p>
    <w:p>
      <w:pPr>
        <w:pStyle w:val="ListParagraph"/>
        <w:numPr>
          <w:ilvl w:val="0"/>
          <w:numId w:val="24"/>
        </w:numPr>
      </w:pPr>
      <w:r>
        <w:t>RCN-218 DCC-A Automatic Logon, with which applicable parts of this standard are intended to be in harmony</w:t>
      </w:r>
    </w:p>
    <w:p>
      <w:pPr>
        <w:pStyle w:val="Heading2"/>
      </w:pPr>
      <w:bookmarkStart w:id="5" w:name="_Toc86755171"/>
      <w:r>
        <w:t>Terminology</w:t>
      </w:r>
      <w:bookmarkEnd w:id="5"/>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lastRenderedPageBreak/>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w:t>
            </w:r>
            <w:r>
              <w:t xml:space="preserve"> </w:t>
            </w:r>
            <w:r>
              <w:t>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X-OR checksum or CRC-8 + X-OR checksum as appropriate for the given packet length.</w:t>
            </w:r>
          </w:p>
        </w:tc>
      </w:tr>
    </w:tbl>
    <w:p>
      <w:pPr>
        <w:pStyle w:val="Heading2"/>
      </w:pPr>
      <w:bookmarkStart w:id="6" w:name="_Toc86755172"/>
      <w:r>
        <w:t>Requirements</w:t>
      </w:r>
      <w:bookmarkEnd w:id="6"/>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7" w:name="_Ref84759592"/>
            <w:r>
              <w:rPr>
                <w:rStyle w:val="FootnoteReference"/>
              </w:rPr>
              <w:footnoteReference w:id="1"/>
            </w:r>
            <w:bookmarkEnd w:id="7"/>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POM</w:t>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r>
              <w:rPr>
                <w:rStyle w:val="FootnoteReference"/>
              </w:rPr>
              <w:footnoteReference w:id="2"/>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 xml:space="preserve">Short </w:t>
            </w:r>
            <w:proofErr w:type="spellStart"/>
            <w:r>
              <w:t>Gui</w:t>
            </w:r>
            <w:proofErr w:type="spellEnd"/>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8" w:name="_Toc86755173"/>
      <w:r>
        <w:t>Packet Framing</w:t>
      </w:r>
      <w:bookmarkEnd w:id="8"/>
    </w:p>
    <w:p>
      <w:pPr>
        <w:pStyle w:val="Heading2"/>
      </w:pPr>
      <w:bookmarkStart w:id="9" w:name="_Ref84790563"/>
      <w:bookmarkStart w:id="10" w:name="_Toc86755174"/>
      <w:r>
        <w:t>Error Detection</w:t>
      </w:r>
      <w:bookmarkEnd w:id="9"/>
      <w:bookmarkEnd w:id="10"/>
    </w:p>
    <w:p>
      <w:r>
        <w:t>If total packet length inclusive of the X-OR checksum in bytes (from start of packet bit to packet end bit) is less than or equal to 6-bytes, the normal packet framing and X-OR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X-OR</w:t>
            </w:r>
          </w:p>
        </w:tc>
      </w:tr>
    </w:tbl>
    <w:p/>
    <w:p>
      <w:r>
        <w:t>If the total packet length exceeds 6-bytes, an additional CRC-8 checksum is inserted just before the traditional X-OR byte. A Decoder is required to check that both the CRC-8 and X-OR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r>
              <w:t>1-4 bytes payload</w:t>
            </w:r>
          </w:p>
        </w:tc>
        <w:tc>
          <w:tcPr>
            <w:tcW w:w="1176" w:type="dxa"/>
          </w:tcPr>
          <w:p>
            <w:r>
              <w:t>CRC-8</w:t>
            </w:r>
          </w:p>
        </w:tc>
        <w:tc>
          <w:tcPr>
            <w:tcW w:w="1177" w:type="dxa"/>
          </w:tcPr>
          <w:p>
            <w:r>
              <w:t>X-OR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0 when calculated over the entire message including the CRC-8 byte itself and excluding the X-OR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lastRenderedPageBreak/>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11" w:name="_Toc86755175"/>
      <w:r>
        <w:t>Feedback</w:t>
      </w:r>
      <w:bookmarkEnd w:id="11"/>
    </w:p>
    <w:p>
      <w:r>
        <w:t>S-9.3.2 defines two feedback channels 1 &amp; 2.</w:t>
      </w:r>
    </w:p>
    <w:p>
      <w:pPr>
        <w:pStyle w:val="Heading3"/>
      </w:pPr>
      <w:bookmarkStart w:id="12" w:name="_Ref86692691"/>
      <w:bookmarkStart w:id="13" w:name="_Toc86755176"/>
      <w:r>
        <w:t>Address Partition 253</w:t>
      </w:r>
      <w:bookmarkEnd w:id="12"/>
      <w:bookmarkEnd w:id="13"/>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14" w:name="_Ref86698290"/>
      <w:bookmarkStart w:id="15" w:name="_Toc86755177"/>
      <w:r>
        <w:t>Address Partition 254</w:t>
      </w:r>
      <w:bookmarkEnd w:id="14"/>
      <w:bookmarkEnd w:id="15"/>
    </w:p>
    <w:p>
      <w:r>
        <w:t xml:space="preserve">All messages sent to the </w:t>
      </w:r>
      <w:proofErr w:type="gramStart"/>
      <w:r>
        <w:t>254 address</w:t>
      </w:r>
      <w:proofErr w:type="gramEnd"/>
      <w:r>
        <w:t xml:space="preserve"> space combine feedback channels 1 &amp; 2 into a single extended length feedback channel. The channel 1 and 2 start and end timing shall be respected by the Decoder.</w:t>
      </w:r>
    </w:p>
    <w:p>
      <w:r>
        <w:t>CV28, bit 7 must be set in order to enable address partition 254. Otherwise, a Decoder shall ignore all commands sent to address partition 254.</w:t>
      </w:r>
    </w:p>
    <w:p>
      <w:pPr>
        <w:pStyle w:val="Heading3"/>
      </w:pPr>
      <w:bookmarkStart w:id="16" w:name="_Toc86755178"/>
      <w:r>
        <w:t>Encoding, Padding, and Alignment</w:t>
      </w:r>
      <w:bookmarkEnd w:id="16"/>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p>
    <w:p>
      <w:pPr>
        <w:pStyle w:val="Heading3"/>
      </w:pPr>
      <w:bookmarkStart w:id="17" w:name="_Ref84766776"/>
      <w:bookmarkStart w:id="18" w:name="_Toc86755179"/>
      <w:r>
        <w:t>Variable Length Feedback</w:t>
      </w:r>
      <w:bookmarkEnd w:id="17"/>
      <w:bookmarkEnd w:id="18"/>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t>{header}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lastRenderedPageBreak/>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xml:space="preserve">: Special format message. The </w:t>
            </w:r>
            <w:proofErr w:type="spellStart"/>
            <w:r>
              <w:t>remaing</w:t>
            </w:r>
            <w:proofErr w:type="spellEnd"/>
            <w:r>
              <w:t xml:space="preserve"> bits of the header byte do not follow the format defined here; see the specific message to which this </w:t>
            </w:r>
            <w:proofErr w:type="spellStart"/>
            <w:r>
              <w:t>repsonse</w:t>
            </w:r>
            <w:proofErr w:type="spellEnd"/>
            <w:r>
              <w:t xml:space="preserv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(header + payload + CRC-8).</w:t>
            </w:r>
          </w:p>
        </w:tc>
      </w:tr>
    </w:tbl>
    <w:p>
      <w:pPr>
        <w:pStyle w:val="Heading2"/>
      </w:pPr>
      <w:bookmarkStart w:id="19" w:name="_Toc86755180"/>
      <w:r>
        <w:t>Acknowledgement</w:t>
      </w:r>
      <w:bookmarkEnd w:id="19"/>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20" w:name="_Toc86755181"/>
      <w:r>
        <w:t>Frequency</w:t>
      </w:r>
      <w:bookmarkEnd w:id="20"/>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21" w:name="_Ref84762823"/>
      <w:bookmarkStart w:id="22" w:name="_Toc86755182"/>
      <w:r>
        <w:t>Sequenced Messages</w:t>
      </w:r>
      <w:bookmarkEnd w:id="21"/>
      <w:bookmarkEnd w:id="22"/>
    </w:p>
    <w:p>
      <w:r>
        <w:t>Certain interactions defined by this standard require a sequence of DCC messages emitted by the System, and the interpretation and desired behavior of a Decoder depends on the entire sequence (stateful evaluation).</w:t>
      </w:r>
    </w:p>
    <w:p>
      <w:r>
        <w:t xml:space="preserve">A Decoder shall act on such a sequenced message if and only if the Decoder has successfully decoded an uninterrupted contiguous stream of DCC messages without any checksum errors since </w:t>
      </w:r>
      <w:r>
        <w:lastRenderedPageBreak/>
        <w:t>the message that started the stateful sequence. The System, when sending out a sequence of messages for stateful evaluation, shall not interleave packets of any alternative track protocol within the sequence.</w:t>
      </w:r>
    </w:p>
    <w:p>
      <w:pPr>
        <w:pStyle w:val="Heading2"/>
      </w:pPr>
      <w:bookmarkStart w:id="23" w:name="_Ref86699154"/>
      <w:bookmarkStart w:id="24" w:name="_Toc86755183"/>
      <w:r>
        <w:t>Error Codes</w:t>
      </w:r>
      <w:bookmarkEnd w:id="23"/>
      <w:bookmarkEnd w:id="24"/>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w:t>
            </w:r>
            <w:r>
              <w:t xml:space="preserve"> is not supported by this </w:t>
            </w:r>
            <w:r>
              <w:t>Decoder</w:t>
            </w:r>
            <w:r>
              <w:t>.</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w:t>
            </w:r>
            <w:r>
              <w:t xml:space="preserv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 xml:space="preserve">Buffer unavailable or </w:t>
            </w:r>
            <w:r>
              <w:t>Decoder</w:t>
            </w:r>
            <w:r>
              <w:t xml:space="preserve">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w:t>
            </w:r>
            <w:r>
              <w:t>’s internal state has been reset, for example due to a loss of power.</w:t>
            </w:r>
          </w:p>
        </w:tc>
      </w:tr>
    </w:tbl>
    <w:p>
      <w:pPr>
        <w:pStyle w:val="Heading1"/>
      </w:pPr>
      <w:bookmarkStart w:id="25" w:name="_Ref84765955"/>
      <w:bookmarkStart w:id="26" w:name="_Toc86755184"/>
      <w:r>
        <w:t>Extended Address Format</w:t>
      </w:r>
      <w:bookmarkEnd w:id="25"/>
      <w:bookmarkEnd w:id="26"/>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27" w:name="_Toc86755185"/>
      <w:r>
        <w:t>Command Types in Address Partition 253</w:t>
      </w:r>
      <w:bookmarkEnd w:id="27"/>
    </w:p>
    <w:p>
      <w:r>
        <w:t>All commands take the following generalized form:</w:t>
      </w:r>
    </w:p>
    <w:p>
      <w:pPr>
        <w:tabs>
          <w:tab w:val="left" w:pos="1980"/>
        </w:tabs>
        <w:ind w:left="360" w:hanging="360"/>
        <w:rPr>
          <w:rFonts w:ascii="Courier New" w:hAnsi="Courier New" w:cs="Courier New"/>
        </w:rPr>
      </w:pPr>
      <w:r>
        <w:lastRenderedPageBreak/>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28" w:name="_Toc86755186"/>
      <w:r>
        <w:t>Addressed and Addressed Continue</w:t>
      </w:r>
      <w:bookmarkEnd w:id="28"/>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section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1888"/>
        <w:gridCol w:w="5863"/>
      </w:tblGrid>
      <w:tr>
        <w:tc>
          <w:tcPr>
            <w:tcW w:w="3775" w:type="dxa"/>
            <w:gridSpan w:val="2"/>
            <w:shd w:val="clear" w:color="auto" w:fill="BFBFBF" w:themeFill="background1" w:themeFillShade="BF"/>
          </w:tcPr>
          <w:p>
            <w:pPr>
              <w:rPr>
                <w:b/>
              </w:rPr>
            </w:pPr>
            <w:r>
              <w:rPr>
                <w:b/>
              </w:rPr>
              <w:t>Command Byte</w:t>
            </w:r>
          </w:p>
        </w:tc>
        <w:tc>
          <w:tcPr>
            <w:tcW w:w="586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1888" w:type="dxa"/>
          </w:tcPr>
          <w:p>
            <w:r>
              <w:t>Manufacturer Specific</w:t>
            </w:r>
          </w:p>
        </w:tc>
        <w:tc>
          <w:tcPr>
            <w:tcW w:w="586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t>00010000 –</w:t>
            </w:r>
          </w:p>
          <w:p>
            <w:pPr>
              <w:rPr>
                <w:rFonts w:ascii="Courier New" w:hAnsi="Courier New" w:cs="Courier New"/>
              </w:rPr>
            </w:pPr>
            <w:r>
              <w:rPr>
                <w:rFonts w:ascii="Courier New" w:hAnsi="Courier New" w:cs="Courier New"/>
              </w:rPr>
              <w:t>11111011</w:t>
            </w:r>
          </w:p>
        </w:tc>
        <w:tc>
          <w:tcPr>
            <w:tcW w:w="1888" w:type="dxa"/>
          </w:tcPr>
          <w:p>
            <w:r>
              <w:t>Reserved</w:t>
            </w:r>
          </w:p>
        </w:tc>
        <w:tc>
          <w:tcPr>
            <w:tcW w:w="586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t>11111100</w:t>
            </w:r>
          </w:p>
        </w:tc>
        <w:tc>
          <w:tcPr>
            <w:tcW w:w="1888" w:type="dxa"/>
          </w:tcPr>
          <w:p>
            <w:proofErr w:type="spellStart"/>
            <w:r>
              <w:t>WriteBlock</w:t>
            </w:r>
            <w:proofErr w:type="spellEnd"/>
          </w:p>
        </w:tc>
        <w:tc>
          <w:tcPr>
            <w:tcW w:w="586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1888" w:type="dxa"/>
          </w:tcPr>
          <w:p>
            <w:proofErr w:type="spellStart"/>
            <w:r>
              <w:t>ReadBackground</w:t>
            </w:r>
            <w:proofErr w:type="spellEnd"/>
          </w:p>
        </w:tc>
        <w:tc>
          <w:tcPr>
            <w:tcW w:w="586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1888" w:type="dxa"/>
          </w:tcPr>
          <w:p>
            <w:proofErr w:type="spellStart"/>
            <w:r>
              <w:t>ReadBlock</w:t>
            </w:r>
            <w:proofErr w:type="spellEnd"/>
          </w:p>
        </w:tc>
        <w:tc>
          <w:tcPr>
            <w:tcW w:w="586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1888" w:type="dxa"/>
          </w:tcPr>
          <w:p>
            <w:r>
              <w:t>Reserved</w:t>
            </w:r>
          </w:p>
        </w:tc>
        <w:tc>
          <w:tcPr>
            <w:tcW w:w="5863" w:type="dxa"/>
          </w:tcPr>
          <w:p>
            <w:r>
              <w:t>All undefined commands are reserved for future use.</w:t>
            </w:r>
          </w:p>
        </w:tc>
      </w:tr>
    </w:tbl>
    <w:p>
      <w:pPr>
        <w:pStyle w:val="Heading2"/>
      </w:pPr>
      <w:bookmarkStart w:id="29" w:name="_Toc86755187"/>
      <w:r>
        <w:t>Addressed Control</w:t>
      </w:r>
      <w:bookmarkEnd w:id="29"/>
    </w:p>
    <w:p>
      <w:r>
        <w:t>All Addressed control commands have bit 7 clear and bit 6 set in the first byte. Currently there are no messages defined for Addressed Control.</w:t>
      </w:r>
    </w:p>
    <w:p>
      <w:pPr>
        <w:ind w:left="360" w:hanging="360"/>
        <w:rPr>
          <w:rFonts w:ascii="Courier New" w:hAnsi="Courier New" w:cs="Courier New"/>
        </w:rPr>
      </w:pPr>
      <w:r>
        <w:lastRenderedPageBreak/>
        <w:t>►</w:t>
      </w:r>
      <w:r>
        <w:tab/>
      </w:r>
      <w:r>
        <w:rPr>
          <w:rFonts w:ascii="Courier New" w:hAnsi="Courier New" w:cs="Courier New"/>
        </w:rPr>
        <w:t>{preamble} 0 11111101 0 01AAAAAA 0 AAAAAAAA 0 {control byte} 0 {payload-bytes} 0 {checksum} 1</w:t>
      </w:r>
    </w:p>
    <w:p>
      <w:pPr>
        <w:pStyle w:val="Heading2"/>
      </w:pPr>
      <w:bookmarkStart w:id="30" w:name="_Toc86755188"/>
      <w:r>
        <w:t>Addressed S-9.2 / S-9.2.1 Chained</w:t>
      </w:r>
      <w:bookmarkEnd w:id="30"/>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31" w:name="_Toc86755189"/>
      <w:r>
        <w:t>Command Types in Address Partition 254</w:t>
      </w:r>
      <w:bookmarkEnd w:id="31"/>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
      <w:tblGrid>
        <w:gridCol w:w="1887"/>
        <w:gridCol w:w="1888"/>
        <w:gridCol w:w="5863"/>
      </w:tblGrid>
      <w:tr>
        <w:trPr>
          <w:cantSplit/>
          <w:tblHeader/>
        </w:trPr>
        <w:tc>
          <w:tcPr>
            <w:tcW w:w="3775" w:type="dxa"/>
            <w:gridSpan w:val="2"/>
            <w:shd w:val="clear" w:color="auto" w:fill="BFBFBF" w:themeFill="background1" w:themeFillShade="BF"/>
          </w:tcPr>
          <w:p>
            <w:pPr>
              <w:rPr>
                <w:b/>
              </w:rPr>
            </w:pPr>
            <w:r>
              <w:rPr>
                <w:b/>
              </w:rPr>
              <w:t>Command Byte</w:t>
            </w:r>
          </w:p>
        </w:tc>
        <w:tc>
          <w:tcPr>
            <w:tcW w:w="5863" w:type="dxa"/>
            <w:shd w:val="clear" w:color="auto" w:fill="BFBFBF" w:themeFill="background1" w:themeFillShade="BF"/>
          </w:tcPr>
          <w:p>
            <w:pPr>
              <w:rPr>
                <w:b/>
              </w:rPr>
            </w:pPr>
            <w:r>
              <w:rPr>
                <w:b/>
              </w:rPr>
              <w:t>Brief Description</w:t>
            </w:r>
          </w:p>
        </w:tc>
      </w:tr>
      <w:tr>
        <w:trPr>
          <w:cantSplit/>
        </w:trPr>
        <w:tc>
          <w:tcPr>
            <w:tcW w:w="1887" w:type="dxa"/>
          </w:tcPr>
          <w:p>
            <w:pPr>
              <w:rPr>
                <w:rFonts w:ascii="Courier New" w:hAnsi="Courier New" w:cs="Courier New"/>
              </w:rPr>
            </w:pPr>
            <w:r>
              <w:rPr>
                <w:rFonts w:ascii="Courier New" w:hAnsi="Courier New" w:cs="Courier New"/>
              </w:rPr>
              <w:t>00000000</w:t>
            </w:r>
          </w:p>
        </w:tc>
        <w:tc>
          <w:tcPr>
            <w:tcW w:w="1888" w:type="dxa"/>
          </w:tcPr>
          <w:p>
            <w:r>
              <w:t>Get Data Start</w:t>
            </w:r>
          </w:p>
        </w:tc>
        <w:tc>
          <w:tcPr>
            <w:tcW w:w="5863" w:type="dxa"/>
          </w:tcPr>
          <w:p>
            <w:r>
              <w:t>First of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00000001</w:t>
            </w:r>
          </w:p>
        </w:tc>
        <w:tc>
          <w:tcPr>
            <w:tcW w:w="1888" w:type="dxa"/>
          </w:tcPr>
          <w:p>
            <w:r>
              <w:t xml:space="preserve">Get Data </w:t>
            </w:r>
            <w:proofErr w:type="spellStart"/>
            <w:r>
              <w:t>Cont</w:t>
            </w:r>
            <w:proofErr w:type="spellEnd"/>
          </w:p>
        </w:tc>
        <w:tc>
          <w:tcPr>
            <w:tcW w:w="5863" w:type="dxa"/>
          </w:tcPr>
          <w:p>
            <w:r>
              <w:t>Further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00000010</w:t>
            </w:r>
          </w:p>
        </w:tc>
        <w:tc>
          <w:tcPr>
            <w:tcW w:w="1888" w:type="dxa"/>
          </w:tcPr>
          <w:p>
            <w:r>
              <w:t>Get Data Start</w:t>
            </w:r>
          </w:p>
        </w:tc>
        <w:tc>
          <w:tcPr>
            <w:tcW w:w="5863" w:type="dxa"/>
          </w:tcPr>
          <w:p>
            <w:r>
              <w:t>First of sequenced messages for Decoder to receive data</w:t>
            </w:r>
          </w:p>
        </w:tc>
      </w:tr>
      <w:tr>
        <w:trPr>
          <w:cantSplit/>
        </w:trPr>
        <w:tc>
          <w:tcPr>
            <w:tcW w:w="1887" w:type="dxa"/>
          </w:tcPr>
          <w:p>
            <w:pPr>
              <w:rPr>
                <w:rFonts w:ascii="Courier New" w:hAnsi="Courier New" w:cs="Courier New"/>
              </w:rPr>
            </w:pPr>
            <w:r>
              <w:rPr>
                <w:rFonts w:ascii="Courier New" w:hAnsi="Courier New" w:cs="Courier New"/>
              </w:rPr>
              <w:t>00000011</w:t>
            </w:r>
          </w:p>
        </w:tc>
        <w:tc>
          <w:tcPr>
            <w:tcW w:w="1888" w:type="dxa"/>
          </w:tcPr>
          <w:p>
            <w:r>
              <w:t xml:space="preserve">Get Data </w:t>
            </w:r>
            <w:proofErr w:type="spellStart"/>
            <w:r>
              <w:t>Cont</w:t>
            </w:r>
            <w:proofErr w:type="spellEnd"/>
          </w:p>
        </w:tc>
        <w:tc>
          <w:tcPr>
            <w:tcW w:w="5863" w:type="dxa"/>
          </w:tcPr>
          <w:p>
            <w:r>
              <w:t>Further sequenced messages for Decoder to receive data</w:t>
            </w:r>
          </w:p>
        </w:tc>
      </w:tr>
      <w:tr>
        <w:trPr>
          <w:cantSplit/>
        </w:trPr>
        <w:tc>
          <w:tcPr>
            <w:tcW w:w="1887" w:type="dxa"/>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1888" w:type="dxa"/>
          </w:tcPr>
          <w:p>
            <w:r>
              <w:t>Reserved</w:t>
            </w:r>
          </w:p>
        </w:tc>
        <w:tc>
          <w:tcPr>
            <w:tcW w:w="586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1101HHHH</w:t>
            </w:r>
          </w:p>
        </w:tc>
        <w:tc>
          <w:tcPr>
            <w:tcW w:w="1888" w:type="dxa"/>
          </w:tcPr>
          <w:p>
            <w:r>
              <w:t>Select</w:t>
            </w:r>
          </w:p>
        </w:tc>
        <w:tc>
          <w:tcPr>
            <w:tcW w:w="5863" w:type="dxa"/>
          </w:tcPr>
          <w:p>
            <w:r>
              <w:t>Requests metadata such as desired address from Decoder</w:t>
            </w:r>
          </w:p>
        </w:tc>
      </w:tr>
      <w:tr>
        <w:trPr>
          <w:cantSplit/>
        </w:trPr>
        <w:tc>
          <w:tcPr>
            <w:tcW w:w="1887" w:type="dxa"/>
          </w:tcPr>
          <w:p>
            <w:pPr>
              <w:rPr>
                <w:rFonts w:ascii="Courier New" w:hAnsi="Courier New" w:cs="Courier New"/>
              </w:rPr>
            </w:pPr>
            <w:r>
              <w:rPr>
                <w:rFonts w:ascii="Courier New" w:hAnsi="Courier New" w:cs="Courier New"/>
              </w:rPr>
              <w:t>1110HHHH</w:t>
            </w:r>
          </w:p>
        </w:tc>
        <w:tc>
          <w:tcPr>
            <w:tcW w:w="1888" w:type="dxa"/>
          </w:tcPr>
          <w:p>
            <w:r>
              <w:t>Logon Assign</w:t>
            </w:r>
          </w:p>
        </w:tc>
        <w:tc>
          <w:tcPr>
            <w:tcW w:w="5863" w:type="dxa"/>
          </w:tcPr>
          <w:p>
            <w:r>
              <w:t>Assigned a DCC address to a given Decoder</w:t>
            </w:r>
          </w:p>
        </w:tc>
      </w:tr>
      <w:tr>
        <w:trPr>
          <w:cantSplit/>
        </w:trPr>
        <w:tc>
          <w:tcPr>
            <w:tcW w:w="1887" w:type="dxa"/>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1888" w:type="dxa"/>
          </w:tcPr>
          <w:p>
            <w:r>
              <w:t>Reserved</w:t>
            </w:r>
          </w:p>
        </w:tc>
        <w:tc>
          <w:tcPr>
            <w:tcW w:w="586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111111GG</w:t>
            </w:r>
          </w:p>
        </w:tc>
        <w:tc>
          <w:tcPr>
            <w:tcW w:w="1888" w:type="dxa"/>
          </w:tcPr>
          <w:p>
            <w:r>
              <w:t>Logon Enable</w:t>
            </w:r>
          </w:p>
        </w:tc>
        <w:tc>
          <w:tcPr>
            <w:tcW w:w="5863" w:type="dxa"/>
          </w:tcPr>
          <w:p>
            <w:r>
              <w:t>Requests registration from one or more Decoders</w:t>
            </w:r>
          </w:p>
        </w:tc>
      </w:tr>
    </w:tbl>
    <w:p>
      <w:pPr>
        <w:pStyle w:val="Heading1"/>
      </w:pPr>
      <w:bookmarkStart w:id="32" w:name="_Toc86755190"/>
      <w:r>
        <w:t>Logon</w:t>
      </w:r>
      <w:bookmarkEnd w:id="32"/>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33" w:name="_Toc86755191"/>
      <w:r>
        <w:lastRenderedPageBreak/>
        <w:t>Procedure</w:t>
      </w:r>
      <w:bookmarkEnd w:id="33"/>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34" w:name="_Toc86755192"/>
      <w:r>
        <w:t>Enumeration</w:t>
      </w:r>
      <w:bookmarkEnd w:id="34"/>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bookmarkStart w:id="35" w:name="_Toc86755193"/>
      <w:r>
        <w:t>Confirmation</w:t>
      </w:r>
      <w:bookmarkEnd w:id="35"/>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t xml:space="preserve">When a Decoder receives a command addressed to its unique ID, such as a </w:t>
      </w:r>
      <w:r>
        <w:rPr>
          <w:b/>
        </w:rPr>
        <w:t>Select</w:t>
      </w:r>
      <w:r>
        <w:t xml:space="preserve"> command, it will transition to Selected state for the current session.</w:t>
      </w:r>
    </w:p>
    <w:p>
      <w:pPr>
        <w:pStyle w:val="Heading3"/>
      </w:pPr>
      <w:bookmarkStart w:id="36" w:name="_Toc86755194"/>
      <w:r>
        <w:t>Assignment</w:t>
      </w:r>
      <w:bookmarkEnd w:id="36"/>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37" w:name="_Toc86755195"/>
      <w:r>
        <w:t>Configuration Discovery</w:t>
      </w:r>
      <w:bookmarkEnd w:id="37"/>
    </w:p>
    <w:p>
      <w:r>
        <w:t xml:space="preserve">Lastly, the System may optionally discover additional configuration information about the Decoder, such as user-visible name, function assignments, </w:t>
      </w:r>
      <w:proofErr w:type="spellStart"/>
      <w:r>
        <w:t>etc</w:t>
      </w:r>
      <w:proofErr w:type="spellEnd"/>
      <w:r>
        <w:t xml:space="preserve">… The most commonly used information is </w:t>
      </w:r>
      <w:r>
        <w:lastRenderedPageBreak/>
        <w:t>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2"/>
      </w:pPr>
      <w:bookmarkStart w:id="38" w:name="_Toc86755196"/>
      <w:r>
        <w:t>Logon Commands</w:t>
      </w:r>
      <w:bookmarkEnd w:id="38"/>
    </w:p>
    <w:p>
      <w:pPr>
        <w:pStyle w:val="Heading3"/>
      </w:pPr>
      <w:bookmarkStart w:id="39" w:name="_Toc86755197"/>
      <w:r>
        <w:t>Logon Enable</w:t>
      </w:r>
      <w:bookmarkEnd w:id="39"/>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 xml:space="preserve">The address group </w:t>
            </w:r>
            <w:proofErr w:type="spellStart"/>
            <w:r>
              <w:t>determins</w:t>
            </w:r>
            <w:proofErr w:type="spellEnd"/>
            <w:r>
              <w:t xml:space="preserve">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w:t>
            </w:r>
            <w:proofErr w:type="spellStart"/>
            <w:r>
              <w:t>backoff</w:t>
            </w:r>
            <w:proofErr w:type="spellEnd"/>
            <w:r>
              <w:t>)</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40" w:name="_Toc86755198"/>
      <w:r>
        <w:t>Select</w:t>
      </w:r>
      <w:bookmarkEnd w:id="40"/>
    </w:p>
    <w:p>
      <w:r>
        <w:t>This command addresses a Decoder by its DID, and transitions the Decoder to Selected state for the current session.</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lastRenderedPageBreak/>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753" w:type="dxa"/>
          </w:tcPr>
          <w:p>
            <w:r>
              <w:t>[optional] CV address, three bytes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41" w:name="_Ref86690008"/>
      <w:proofErr w:type="spellStart"/>
      <w:r>
        <w:t>ReadShortInfo</w:t>
      </w:r>
      <w:bookmarkEnd w:id="41"/>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3"/>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4"/>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lastRenderedPageBreak/>
        <w:t>ReadBlock</w:t>
      </w:r>
      <w:proofErr w:type="spellEnd"/>
    </w:p>
    <w:p>
      <w:r>
        <w:t>If CCCCCCCC = 11111110 (</w:t>
      </w:r>
      <w:proofErr w:type="spellStart"/>
      <w:r>
        <w:rPr>
          <w:b/>
        </w:rPr>
        <w:t>ReadBlock</w:t>
      </w:r>
      <w:proofErr w:type="spellEnd"/>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42" w:name="_Ref86700729"/>
      <w:r>
        <w:t>Set Decoder Internal Status</w:t>
      </w:r>
      <w:bookmarkEnd w:id="42"/>
    </w:p>
    <w:p>
      <w:r>
        <w:t>If CCCCCCCC = 1111111</w:t>
      </w:r>
      <w:r>
        <w:t>1</w:t>
      </w:r>
      <w:r>
        <w:t xml:space="preserve"> (</w:t>
      </w:r>
      <w:r>
        <w:rPr>
          <w:b/>
        </w:rPr>
        <w:t>Set Decoder Internal Status</w:t>
      </w:r>
      <w:r>
        <w:t xml:space="preserve">), </w:t>
      </w:r>
      <w:r>
        <w:t>a simple ack response shall be sent.</w:t>
      </w:r>
    </w:p>
    <w:p>
      <w:pPr>
        <w:ind w:left="360" w:hanging="360"/>
        <w:rPr>
          <w:rFonts w:ascii="Courier New" w:hAnsi="Courier New" w:cs="Courier New"/>
        </w:rPr>
      </w:pPr>
      <w:r>
        <w:t>►</w:t>
      </w:r>
      <w:r>
        <w:tab/>
      </w:r>
      <w:r>
        <w:rPr>
          <w:rFonts w:ascii="Courier New" w:hAnsi="Courier New" w:cs="Courier New"/>
        </w:rPr>
        <w:t xml:space="preserve">{preamble} 0 1101HHHH 0 HHHHHHHH 0 UUUUUUUU 0 UUUUUUUU 0 UUUUUUUU 0 UUUUUUUU 0 </w:t>
      </w:r>
      <w:r>
        <w:rPr>
          <w:rFonts w:ascii="Courier New" w:hAnsi="Courier New" w:cs="Courier New"/>
        </w:rPr>
        <w:t>11111011</w:t>
      </w:r>
      <w:r>
        <w:rPr>
          <w:rFonts w:ascii="Courier New" w:hAnsi="Courier New" w:cs="Courier New"/>
        </w:rPr>
        <w:t xml:space="preserve">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w:t>
            </w:r>
            <w:r>
              <w:t xml:space="preserve">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xml:space="preserve">: Set </w:t>
            </w:r>
            <w:r>
              <w:t>Decoder</w:t>
            </w:r>
            <w:r>
              <w:t xml:space="preserve">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w:t>
            </w:r>
            <w:r>
              <w:t xml:space="preserve"> </w:t>
            </w:r>
            <w:r>
              <w:t>clear all change flags to 0</w:t>
            </w:r>
          </w:p>
          <w:p>
            <w:r>
              <w:rPr>
                <w:b/>
              </w:rPr>
              <w:t>11111110..00000000</w:t>
            </w:r>
            <w:r>
              <w:t>: Reserved</w:t>
            </w:r>
          </w:p>
        </w:tc>
      </w:tr>
    </w:tbl>
    <w:p>
      <w:pPr>
        <w:pStyle w:val="Heading3"/>
      </w:pPr>
      <w:bookmarkStart w:id="43" w:name="_Toc86755199"/>
      <w:r>
        <w:t>Get Data</w:t>
      </w:r>
      <w:bookmarkEnd w:id="43"/>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w:t>
      </w:r>
      <w:r>
        <w:lastRenderedPageBreak/>
        <w:t xml:space="preserve">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44" w:name="_Toc86755200"/>
      <w:r>
        <w:t>Set Data</w:t>
      </w:r>
      <w:bookmarkEnd w:id="44"/>
    </w:p>
    <w:p>
      <w:r>
        <w:t>Reserved for future definition.</w:t>
      </w:r>
    </w:p>
    <w:p>
      <w:pPr>
        <w:pStyle w:val="Heading3"/>
      </w:pPr>
      <w:bookmarkStart w:id="45" w:name="_Ref86690075"/>
      <w:bookmarkStart w:id="46" w:name="_Toc86755201"/>
      <w:r>
        <w:t>Logon Assign</w:t>
      </w:r>
      <w:bookmarkEnd w:id="45"/>
      <w:bookmarkEnd w:id="46"/>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t>►</w:t>
      </w:r>
      <w:r>
        <w:tab/>
      </w:r>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r>
              <w:rPr>
                <w:rStyle w:val="FootnoteReference"/>
              </w:rPr>
              <w:footnoteReference w:id="5"/>
            </w:r>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6"/>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Change counter. This value is changed every time the Decoder is programmed with new configuration, including if its firmware is updated. A value of 0xFFF corresponds to a Decoder, which is new, factory reset, or firmware updated, and is always regarded as a "changed" value.</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2"/>
      </w:pPr>
      <w:bookmarkStart w:id="47" w:name="_Toc86755202"/>
      <w:r>
        <w:t>System Behavior</w:t>
      </w:r>
      <w:bookmarkEnd w:id="47"/>
    </w:p>
    <w:p>
      <w:r>
        <w:t>Each time a System is restarted, it shall increment its session ID. After Session ID 255, it shall roll over to Session ID 0.</w:t>
      </w:r>
    </w:p>
    <w:p>
      <w:pPr>
        <w:pStyle w:val="Heading3"/>
      </w:pPr>
      <w:bookmarkStart w:id="48" w:name="_Toc86755203"/>
      <w:r>
        <w:t>Registration</w:t>
      </w:r>
      <w:bookmarkEnd w:id="48"/>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t xml:space="preserve">If collisions are detected, the back off phase is started. The System sends a sequence of </w:t>
      </w:r>
      <w:r>
        <w:rPr>
          <w:b/>
        </w:rPr>
        <w:t>Logon Enable (All)</w:t>
      </w:r>
      <w:r>
        <w:t xml:space="preserve">. Each Decoder not yet addressed by </w:t>
      </w:r>
      <w:r>
        <w:rPr>
          <w:b/>
        </w:rPr>
        <w:t>Select</w:t>
      </w:r>
      <w:r>
        <w:t xml:space="preserve"> will execute the back-off algorithm described in Section </w:t>
      </w:r>
      <w:r>
        <w:fldChar w:fldCharType="begin"/>
      </w:r>
      <w:r>
        <w:instrText xml:space="preserve"> REF _Ref86703671 \r \p \h </w:instrText>
      </w:r>
      <w:r>
        <w:instrText xml:space="preserve"> \* MERGEFORMAT </w:instrText>
      </w:r>
      <w:r>
        <w:fldChar w:fldCharType="separate"/>
      </w:r>
      <w:r>
        <w:t>6.4.2 below</w:t>
      </w:r>
      <w:r>
        <w:fldChar w:fldCharType="end"/>
      </w:r>
      <w:r>
        <w:t xml:space="preserve">, and send replies to only some of these </w:t>
      </w:r>
      <w:r>
        <w:rPr>
          <w:b/>
        </w:rPr>
        <w:t>Logon Enable</w:t>
      </w:r>
      <w:r>
        <w:t xml:space="preserve"> messages, thereby increasing the chance of a successful reception of the </w:t>
      </w:r>
      <w:r>
        <w:rPr>
          <w:b/>
        </w:rPr>
        <w:t>ID15</w:t>
      </w:r>
      <w:r>
        <w:t xml:space="preserve"> message.</w:t>
      </w:r>
    </w:p>
    <w:p>
      <w:r>
        <w:lastRenderedPageBreak/>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49" w:name="_Toc86755204"/>
      <w:r>
        <w:t>Configuration Discovery</w:t>
      </w:r>
      <w:bookmarkEnd w:id="49"/>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50" w:name="_Toc86755205"/>
      <w:r>
        <w:t>Decoder Behavior</w:t>
      </w:r>
      <w:bookmarkEnd w:id="50"/>
    </w:p>
    <w:p>
      <w:pPr>
        <w:pStyle w:val="Heading3"/>
      </w:pPr>
      <w:bookmarkStart w:id="51" w:name="_Ref86702775"/>
      <w:bookmarkStart w:id="52" w:name="_Toc86755206"/>
      <w:r>
        <w:t>Startup</w:t>
      </w:r>
      <w:bookmarkEnd w:id="51"/>
      <w:bookmarkEnd w:id="52"/>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7"/>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53" w:name="_Ref86702816"/>
      <w:bookmarkStart w:id="54" w:name="_Ref86703671"/>
      <w:bookmarkStart w:id="55" w:name="_Toc86755207"/>
      <w:r>
        <w:t>Back-off</w:t>
      </w:r>
      <w:bookmarkEnd w:id="53"/>
      <w:bookmarkEnd w:id="54"/>
      <w:bookmarkEnd w:id="55"/>
    </w:p>
    <w:p>
      <w:r>
        <w:t xml:space="preserve">If a Decoder does not receive a </w:t>
      </w:r>
      <w:r>
        <w:rPr>
          <w:b/>
        </w:rPr>
        <w:t>Select</w:t>
      </w:r>
      <w:r>
        <w:t xml:space="preserve"> confirmation after an attempted registration, it no longer replies to a certain number of </w:t>
      </w:r>
      <w:r>
        <w:rPr>
          <w:b/>
        </w:rPr>
        <w:t>Logon Enable</w:t>
      </w:r>
      <w:r>
        <w:t xml:space="preserve"> messages. The number of </w:t>
      </w:r>
      <w:r>
        <w:rPr>
          <w:b/>
        </w:rPr>
        <w:t>Logon Enable</w:t>
      </w:r>
      <w:r>
        <w:t xml:space="preserve"> messages to </w:t>
      </w:r>
      <w:r>
        <w:lastRenderedPageBreak/>
        <w:t>be ignored is based on a random number, which may be generated by the DID. The first random number is to be chosen from a range of 0 to 7. If the Logon is not activated again, the number is selected from a range of 0 to 15. If the Logon is not activated again, the number is selected from a range of 0 to 31. If the Logon is not activated again, the number is selected from a range of 0 to 63, and no further.</w:t>
      </w:r>
    </w:p>
    <w:p>
      <w:r>
        <w:t xml:space="preserve">If a </w:t>
      </w:r>
      <w:r>
        <w:rPr>
          <w:b/>
        </w:rPr>
        <w:t>Logon Enable (Now)</w:t>
      </w:r>
      <w:r>
        <w:t xml:space="preserve"> is received, the Decoder resets the current back-off value and immediately tries to register again.</w:t>
      </w:r>
    </w:p>
    <w:p>
      <w:r>
        <w:t>If the Decoder contains a True Random Number Generator (TRNG), it may be used to generate a random value used in Back-off.</w:t>
      </w:r>
    </w:p>
    <w:p>
      <w:r>
        <w:rPr>
          <w:color w:val="4F81BD" w:themeColor="accent1"/>
        </w:rPr>
        <w:t>[The random number algorithm requirements are currently under reevaluation.]</w:t>
      </w:r>
    </w:p>
    <w:p>
      <w:pPr>
        <w:pStyle w:val="Heading3"/>
      </w:pPr>
      <w:bookmarkStart w:id="56" w:name="_Ref86703478"/>
      <w:bookmarkStart w:id="57" w:name="_Toc86755208"/>
      <w:r>
        <w:t>CV19 Consisting Behavior</w:t>
      </w:r>
      <w:bookmarkEnd w:id="56"/>
      <w:bookmarkEnd w:id="57"/>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58" w:name="_Toc86755209"/>
      <w:r>
        <w:t>Data Spaces</w:t>
      </w:r>
      <w:bookmarkEnd w:id="58"/>
    </w:p>
    <w:p>
      <w:r>
        <w:t>Data Spaces are used for the efficient transfer of large amounts of data between a Decoder and the System.</w:t>
      </w:r>
    </w:p>
    <w:p>
      <w:r>
        <w:t xml:space="preserve">Normally, the CRC-8 seed value used by this Standard is always 0, as described in section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59" w:name="_Toc86755210"/>
      <w:proofErr w:type="spellStart"/>
      <w:r>
        <w:t>WriteBlock</w:t>
      </w:r>
      <w:bookmarkEnd w:id="59"/>
      <w:proofErr w:type="spellEnd"/>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Dataspace offset, three bytes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60" w:name="_Toc86755211"/>
      <w:proofErr w:type="spellStart"/>
      <w:r>
        <w:lastRenderedPageBreak/>
        <w:t>WriteBlock</w:t>
      </w:r>
      <w:proofErr w:type="spellEnd"/>
      <w:r>
        <w:t xml:space="preserve"> Feedback</w:t>
      </w:r>
      <w:bookmarkEnd w:id="60"/>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8"/>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61" w:name="_Toc86755212"/>
      <w:proofErr w:type="spellStart"/>
      <w:r>
        <w:t>WriteBlock</w:t>
      </w:r>
      <w:proofErr w:type="spellEnd"/>
      <w:r>
        <w:t xml:space="preserve"> Continue</w:t>
      </w:r>
      <w:bookmarkEnd w:id="61"/>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lastRenderedPageBreak/>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the </w:t>
      </w:r>
      <w:proofErr w:type="spellStart"/>
      <w:r>
        <w:rPr>
          <w:b/>
        </w:rPr>
        <w:t>WriteBlock</w:t>
      </w:r>
      <w:proofErr w:type="spellEnd"/>
      <w:r>
        <w:t xml:space="preserve"> command shall be issued with an explicit specification of the write offset.</w:t>
      </w:r>
    </w:p>
    <w:p>
      <w:r>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62" w:name="_Toc86755213"/>
      <w:proofErr w:type="spellStart"/>
      <w:r>
        <w:t>ReadBackground</w:t>
      </w:r>
      <w:bookmarkEnd w:id="62"/>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{upstream data chunk}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ID14 {upstream data chunk}</w:t>
      </w:r>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number, three bytes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 xml:space="preserve">2.2.4 </w:t>
      </w:r>
      <w:r>
        <w:lastRenderedPageBreak/>
        <w:t>above</w:t>
      </w:r>
      <w:r>
        <w:fldChar w:fldCharType="end"/>
      </w:r>
      <w:r>
        <w:t>). The Decoder shall use the Data Space number as the seed value for the CRC-8 computation of the response.</w:t>
      </w:r>
    </w:p>
    <w:p>
      <w:pPr>
        <w:pStyle w:val="Heading2"/>
      </w:pPr>
      <w:bookmarkStart w:id="63" w:name="_Toc86755214"/>
      <w:proofErr w:type="spellStart"/>
      <w:r>
        <w:t>ReadBlock</w:t>
      </w:r>
      <w:bookmarkEnd w:id="63"/>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w:t>
      </w:r>
      <w:r>
        <w:rPr>
          <w:rFonts w:ascii="Courier New" w:hAnsi="Courier New" w:cs="Courier New"/>
          <w:color w:val="000000"/>
          <w:sz w:val="22"/>
          <w:szCs w:val="22"/>
        </w:rPr>
        <w:t>0</w:t>
      </w:r>
      <w:r>
        <w:rPr>
          <w:rFonts w:ascii="Courier New" w:hAnsi="Courier New" w:cs="Courier New"/>
          <w:color w:val="000000"/>
          <w:sz w:val="22"/>
          <w:szCs w:val="22"/>
        </w:rPr>
        <w:t xml:space="preserve"> 0 NNNNNNNN 0 (VVVVVVVV 0 VVVVVVVV 0 VVVVVVVV 0 SSSSSSSS 0) {checksum} 1</w:t>
      </w:r>
      <w:r>
        <w:t xml:space="preserve"> -</w:t>
      </w:r>
      <w:r>
        <w:rPr>
          <w:b/>
        </w:rPr>
        <w:t xml:space="preserve"> </w:t>
      </w:r>
      <w:proofErr w:type="spellStart"/>
      <w:r>
        <w:rPr>
          <w:b/>
        </w:rPr>
        <w:t>Read</w:t>
      </w:r>
      <w:r>
        <w:rPr>
          <w:b/>
        </w:rPr>
        <w:t>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w:t>
      </w:r>
      <w:r>
        <w:rPr>
          <w:rFonts w:ascii="Courier New" w:hAnsi="Courier New" w:cs="Courier New"/>
          <w:color w:val="000000"/>
          <w:sz w:val="22"/>
          <w:szCs w:val="22"/>
        </w:rPr>
        <w:t>0</w:t>
      </w:r>
      <w:r>
        <w:rPr>
          <w:rFonts w:ascii="Courier New" w:hAnsi="Courier New" w:cs="Courier New"/>
          <w:color w:val="000000"/>
          <w:sz w:val="22"/>
          <w:szCs w:val="22"/>
        </w:rPr>
        <w:t xml:space="preserve"> 0 </w:t>
      </w:r>
      <w:r>
        <w:rPr>
          <w:rFonts w:ascii="Courier New" w:hAnsi="Courier New" w:cs="Courier New"/>
          <w:color w:val="000000"/>
          <w:sz w:val="22"/>
          <w:szCs w:val="22"/>
        </w:rPr>
        <w:t>00000000</w:t>
      </w:r>
      <w:r>
        <w:rPr>
          <w:rFonts w:ascii="Courier New" w:hAnsi="Courier New" w:cs="Courier New"/>
          <w:color w:val="000000"/>
          <w:sz w:val="22"/>
          <w:szCs w:val="22"/>
        </w:rPr>
        <w:t xml:space="preserve"> 0</w:t>
      </w:r>
      <w:r>
        <w:rPr>
          <w:rFonts w:ascii="Courier New" w:hAnsi="Courier New" w:cs="Courier New"/>
          <w:color w:val="000000"/>
          <w:sz w:val="22"/>
          <w:szCs w:val="22"/>
        </w:rPr>
        <w:t xml:space="preserve"> </w:t>
      </w:r>
      <w:r>
        <w:rPr>
          <w:rFonts w:ascii="Courier New" w:hAnsi="Courier New" w:cs="Courier New"/>
          <w:color w:val="000000"/>
          <w:sz w:val="22"/>
          <w:szCs w:val="22"/>
        </w:rPr>
        <w:t>{checksum} 1</w:t>
      </w:r>
      <w:r>
        <w:t xml:space="preserve"> </w:t>
      </w:r>
      <w:r>
        <w:t>–</w:t>
      </w:r>
      <w:r>
        <w:rPr>
          <w:b/>
        </w:rPr>
        <w:t xml:space="preserve">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w:t>
      </w:r>
      <w:r>
        <w:rPr>
          <w:rFonts w:ascii="Courier New" w:hAnsi="Courier New" w:cs="Courier New"/>
        </w:rPr>
        <w:t>ch1+</w:t>
      </w:r>
      <w:r>
        <w:rPr>
          <w:rFonts w:ascii="Courier New" w:hAnsi="Courier New" w:cs="Courier New"/>
        </w:rPr>
        <w:t>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w:t>
      </w:r>
      <w:r>
        <w:rPr>
          <w:rFonts w:ascii="Courier New" w:hAnsi="Courier New" w:cs="Courier New"/>
          <w:color w:val="000000"/>
          <w:sz w:val="22"/>
          <w:szCs w:val="22"/>
        </w:rPr>
        <w:t>1</w:t>
      </w:r>
      <w:r>
        <w:rPr>
          <w:rFonts w:ascii="Courier New" w:hAnsi="Courier New" w:cs="Courier New"/>
          <w:color w:val="000000"/>
          <w:sz w:val="22"/>
          <w:szCs w:val="22"/>
        </w:rPr>
        <w:t xml:space="preserve"> 0 {checksum} 1</w:t>
      </w:r>
      <w:r>
        <w:t xml:space="preserve"> –</w:t>
      </w:r>
      <w:r>
        <w:rPr>
          <w:b/>
        </w:rPr>
        <w:t xml:space="preserve"> Get Data </w:t>
      </w:r>
      <w:r>
        <w:rPr>
          <w:b/>
        </w:rPr>
        <w:t>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w:t>
      </w:r>
      <w:r>
        <w:rPr>
          <w:rFonts w:ascii="Courier New" w:hAnsi="Courier New" w:cs="Courier New"/>
        </w:rPr>
        <w:t>ch1+</w:t>
      </w:r>
      <w:r>
        <w:rPr>
          <w:rFonts w:ascii="Courier New" w:hAnsi="Courier New" w:cs="Courier New"/>
        </w:rPr>
        <w:t>ch2]: {</w:t>
      </w:r>
      <w:r>
        <w:rPr>
          <w:rFonts w:ascii="Courier New" w:hAnsi="Courier New" w:cs="Courier New"/>
        </w:rPr>
        <w:t>6 data bytes</w:t>
      </w:r>
      <w:r>
        <w:rPr>
          <w:rFonts w:ascii="Courier New" w:hAnsi="Courier New" w:cs="Courier New"/>
        </w:rPr>
        <w:t>}</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Decoder</w:t>
            </w:r>
            <w:r>
              <w:t xml:space="preserve">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number, three bytes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 xml:space="preserve">When Data space offset is not present, it is assumed to be 0. When the number of requested bytes is not present, the </w:t>
      </w:r>
      <w:r>
        <w:t>Decoder</w:t>
      </w:r>
      <w:r>
        <w:t xml:space="preserve"> continues responding until the total size is exhausted.</w:t>
      </w:r>
    </w:p>
    <w:p>
      <w:r>
        <w:t>The upstream data chunks are transmitted using the Variable Length Feedback format (Section</w:t>
      </w:r>
      <w:r>
        <w:t xml:space="preserve"> </w:t>
      </w:r>
      <w:r>
        <w:fldChar w:fldCharType="begin"/>
      </w:r>
      <w:r>
        <w:instrText xml:space="preserve"> REF _Ref84766776 \r \p \h </w:instrText>
      </w:r>
      <w:r>
        <w:fldChar w:fldCharType="separate"/>
      </w:r>
      <w:r>
        <w:t>2.2.4 above</w:t>
      </w:r>
      <w:r>
        <w:fldChar w:fldCharType="end"/>
      </w:r>
      <w:r>
        <w:t xml:space="preserve">). The </w:t>
      </w:r>
      <w:r>
        <w:t>Decoder</w:t>
      </w:r>
      <w:r>
        <w:t xml:space="preserve"> shall use the Data space number as the seed value for the CRC-8 computation of the response.</w:t>
      </w:r>
    </w:p>
    <w:p>
      <w:r>
        <w:t xml:space="preserve">The </w:t>
      </w:r>
      <w:r>
        <w:t>Decoder</w:t>
      </w:r>
      <w:r>
        <w:t xml:space="preserve"> shall respond to </w:t>
      </w:r>
      <w:r>
        <w:rPr>
          <w:b/>
        </w:rPr>
        <w:t>Get Data Continue</w:t>
      </w:r>
      <w:r>
        <w:t xml:space="preserve"> with an </w:t>
      </w:r>
      <w:r>
        <w:rPr>
          <w:b/>
        </w:rPr>
        <w:t>ACK</w:t>
      </w:r>
      <w:r>
        <w:t xml:space="preserve"> if no more data is available.</w:t>
      </w:r>
    </w:p>
    <w:p>
      <w:pPr>
        <w:pStyle w:val="Heading3"/>
      </w:pPr>
      <w:bookmarkStart w:id="64" w:name="_Toc86755215"/>
      <w:proofErr w:type="spellStart"/>
      <w:r>
        <w:t>ReadBlock</w:t>
      </w:r>
      <w:proofErr w:type="spellEnd"/>
      <w:r>
        <w:t xml:space="preserve"> Errors</w:t>
      </w:r>
      <w:bookmarkEnd w:id="64"/>
    </w:p>
    <w:p>
      <w:r>
        <w:t xml:space="preserve">The </w:t>
      </w:r>
      <w:proofErr w:type="spellStart"/>
      <w:r>
        <w:rPr>
          <w:b/>
        </w:rPr>
        <w:t>ReadBlock</w:t>
      </w:r>
      <w:proofErr w:type="spellEnd"/>
      <w:r>
        <w:t xml:space="preserve"> request shall be rejected if CV28 bit 7 is clear, as described in Section </w:t>
      </w:r>
      <w:r>
        <w:fldChar w:fldCharType="begin"/>
      </w:r>
      <w:r>
        <w:instrText xml:space="preserve"> REF _Ref86698290 \r \p \h </w:instrText>
      </w:r>
      <w:r>
        <w:fldChar w:fldCharType="separate"/>
      </w:r>
      <w:r>
        <w:t>2.2.2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w:t>
      </w:r>
      <w:r>
        <w:rPr>
          <w:rFonts w:ascii="Courier New" w:hAnsi="Courier New" w:cs="Courier New"/>
        </w:rPr>
        <w:t>1</w:t>
      </w:r>
      <w:r>
        <w:rPr>
          <w:rFonts w:ascii="Courier New" w:hAnsi="Courier New" w:cs="Courier New"/>
        </w:rPr>
        <w:t>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bl>
    <w:p>
      <w:bookmarkStart w:id="65" w:name="_Ref86704197"/>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pPr>
        <w:pStyle w:val="Heading2"/>
      </w:pPr>
      <w:bookmarkStart w:id="66" w:name="_Toc86755216"/>
      <w:r>
        <w:lastRenderedPageBreak/>
        <w:t>Data Space Definitions</w:t>
      </w:r>
      <w:bookmarkEnd w:id="65"/>
      <w:bookmarkEnd w:id="66"/>
    </w:p>
    <w:tbl>
      <w:tblPr>
        <w:tblStyle w:val="TableGrid"/>
        <w:tblW w:w="0" w:type="auto"/>
        <w:tblLook w:val="04A0" w:firstRow="1" w:lastRow="0" w:firstColumn="1" w:lastColumn="0" w:noHBand="0" w:noVBand="1"/>
      </w:tblPr>
      <w:tblGrid>
        <w:gridCol w:w="1613"/>
        <w:gridCol w:w="8025"/>
      </w:tblGrid>
      <w:tr>
        <w:trPr>
          <w:cantSplit/>
          <w:tblHeader/>
        </w:trPr>
        <w:tc>
          <w:tcPr>
            <w:tcW w:w="1638" w:type="dxa"/>
            <w:shd w:val="clear" w:color="auto" w:fill="BFBFBF" w:themeFill="background1" w:themeFillShade="BF"/>
          </w:tcPr>
          <w:p>
            <w:pPr>
              <w:rPr>
                <w:b/>
              </w:rPr>
            </w:pPr>
            <w:r>
              <w:rPr>
                <w:b/>
              </w:rPr>
              <w:t>D</w:t>
            </w:r>
            <w:r>
              <w:rPr>
                <w:b/>
              </w:rPr>
              <w:t>ata Space</w:t>
            </w:r>
          </w:p>
        </w:tc>
        <w:tc>
          <w:tcPr>
            <w:tcW w:w="8226" w:type="dxa"/>
            <w:shd w:val="clear" w:color="auto" w:fill="BFBFBF" w:themeFill="background1" w:themeFillShade="BF"/>
          </w:tcPr>
          <w:p>
            <w:pPr>
              <w:rPr>
                <w:b/>
              </w:rPr>
            </w:pPr>
            <w:r>
              <w:rPr>
                <w:b/>
              </w:rPr>
              <w:t>Description</w:t>
            </w:r>
          </w:p>
        </w:tc>
      </w:tr>
      <w:tr>
        <w:trPr>
          <w:cantSplit/>
        </w:trPr>
        <w:tc>
          <w:tcPr>
            <w:tcW w:w="1638" w:type="dxa"/>
          </w:tcPr>
          <w:p>
            <w:pPr>
              <w:jc w:val="center"/>
            </w:pPr>
            <w:r>
              <w:t>0</w:t>
            </w:r>
          </w:p>
        </w:tc>
        <w:tc>
          <w:tcPr>
            <w:tcW w:w="8226" w:type="dxa"/>
          </w:tcPr>
          <w:p>
            <w:r>
              <w:t>Capabilities</w:t>
            </w:r>
          </w:p>
        </w:tc>
      </w:tr>
      <w:tr>
        <w:trPr>
          <w:cantSplit/>
        </w:trPr>
        <w:tc>
          <w:tcPr>
            <w:tcW w:w="1638" w:type="dxa"/>
          </w:tcPr>
          <w:p>
            <w:pPr>
              <w:jc w:val="center"/>
            </w:pPr>
            <w:r>
              <w:t>1</w:t>
            </w:r>
          </w:p>
        </w:tc>
        <w:tc>
          <w:tcPr>
            <w:tcW w:w="8226" w:type="dxa"/>
          </w:tcPr>
          <w:p>
            <w:r>
              <w:t>Data Space Info</w:t>
            </w:r>
          </w:p>
        </w:tc>
      </w:tr>
      <w:tr>
        <w:trPr>
          <w:cantSplit/>
        </w:trPr>
        <w:tc>
          <w:tcPr>
            <w:tcW w:w="1638" w:type="dxa"/>
          </w:tcPr>
          <w:p>
            <w:pPr>
              <w:jc w:val="center"/>
            </w:pPr>
            <w:r>
              <w:t>2</w:t>
            </w:r>
          </w:p>
        </w:tc>
        <w:tc>
          <w:tcPr>
            <w:tcW w:w="8226" w:type="dxa"/>
          </w:tcPr>
          <w:p>
            <w:r>
              <w:t xml:space="preserve">Short </w:t>
            </w:r>
            <w:proofErr w:type="spellStart"/>
            <w:r>
              <w:t>Gui</w:t>
            </w:r>
            <w:proofErr w:type="spellEnd"/>
          </w:p>
        </w:tc>
      </w:tr>
      <w:tr>
        <w:trPr>
          <w:cantSplit/>
        </w:trPr>
        <w:tc>
          <w:tcPr>
            <w:tcW w:w="1638" w:type="dxa"/>
          </w:tcPr>
          <w:p>
            <w:pPr>
              <w:jc w:val="center"/>
            </w:pPr>
            <w:r>
              <w:t>3</w:t>
            </w:r>
          </w:p>
        </w:tc>
        <w:tc>
          <w:tcPr>
            <w:tcW w:w="8226" w:type="dxa"/>
          </w:tcPr>
          <w:p>
            <w:r>
              <w:t>Configuration Variables</w:t>
            </w:r>
          </w:p>
        </w:tc>
      </w:tr>
      <w:tr>
        <w:trPr>
          <w:cantSplit/>
        </w:trPr>
        <w:tc>
          <w:tcPr>
            <w:tcW w:w="1638" w:type="dxa"/>
          </w:tcPr>
          <w:p>
            <w:pPr>
              <w:jc w:val="center"/>
            </w:pPr>
            <w:r>
              <w:t>4 – 255</w:t>
            </w:r>
          </w:p>
        </w:tc>
        <w:tc>
          <w:tcPr>
            <w:tcW w:w="8226" w:type="dxa"/>
          </w:tcPr>
          <w:p>
            <w:r>
              <w:t>Reserved for future use</w:t>
            </w:r>
          </w:p>
        </w:tc>
      </w:tr>
    </w:tbl>
    <w:p>
      <w:pPr>
        <w:pStyle w:val="Heading3"/>
      </w:pPr>
      <w:bookmarkStart w:id="67" w:name="_Ref86689124"/>
      <w:bookmarkStart w:id="68" w:name="_Toc86755217"/>
      <w:r>
        <w:t>Capabilities</w:t>
      </w:r>
      <w:bookmarkEnd w:id="67"/>
      <w:bookmarkEnd w:id="68"/>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w:t>
            </w:r>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69" w:name="_Toc86755218"/>
      <w:r>
        <w:t>Data Space Info</w:t>
      </w:r>
      <w:bookmarkEnd w:id="69"/>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lastRenderedPageBreak/>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 xml:space="preserve">Data Space </w:t>
            </w:r>
            <w:r>
              <w:t>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4</w:t>
            </w:r>
            <w:r>
              <w:t>..</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 xml:space="preserve">Data Space </w:t>
            </w:r>
            <w:r>
              <w:t>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70" w:name="_Toc86755219"/>
      <w:r>
        <w:t>Short GUI</w:t>
      </w:r>
      <w:bookmarkEnd w:id="70"/>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w:t>
            </w:r>
          </w:p>
        </w:tc>
      </w:tr>
      <w:tr>
        <w:tc>
          <w:tcPr>
            <w:tcW w:w="936" w:type="dxa"/>
            <w:vMerge w:val="restart"/>
            <w:shd w:val="clear" w:color="auto" w:fill="auto"/>
          </w:tcPr>
          <w:p>
            <w:pPr>
              <w:jc w:val="center"/>
            </w:pPr>
            <w:r>
              <w:t>10</w:t>
            </w:r>
          </w:p>
        </w:tc>
        <w:tc>
          <w:tcPr>
            <w:tcW w:w="870" w:type="dxa"/>
            <w:shd w:val="clear" w:color="auto" w:fill="auto"/>
          </w:tcPr>
          <w:p>
            <w:pPr>
              <w:jc w:val="center"/>
            </w:pPr>
            <w:r>
              <w:t>6..7</w:t>
            </w:r>
          </w:p>
        </w:tc>
        <w:tc>
          <w:tcPr>
            <w:tcW w:w="7832" w:type="dxa"/>
          </w:tcPr>
          <w:p>
            <w:r>
              <w:t>Function information f0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Reserved, send as 0, check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w:t>
            </w:r>
            <w:r>
              <w:t>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w:t>
            </w:r>
            <w:r>
              <w:t>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w:t>
            </w:r>
            <w:r>
              <w:t>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w:t>
            </w:r>
            <w:r>
              <w:t>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w:t>
            </w:r>
            <w:r>
              <w:t>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w:t>
            </w:r>
            <w:r>
              <w:t>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w:t>
            </w:r>
            <w:r>
              <w:t>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lastRenderedPageBreak/>
              <w:t>1</w:t>
            </w:r>
            <w:r>
              <w:t>111</w:t>
            </w:r>
          </w:p>
        </w:tc>
        <w:tc>
          <w:tcPr>
            <w:tcW w:w="4353" w:type="dxa"/>
            <w:shd w:val="clear" w:color="auto" w:fill="auto"/>
          </w:tcPr>
          <w:p>
            <w:pPr>
              <w:jc w:val="center"/>
            </w:pPr>
            <w:r>
              <w:t>Other (non-mobile) Decoder</w:t>
            </w:r>
            <w:r>
              <w:rPr>
                <w:rStyle w:val="FootnoteReference"/>
              </w:rPr>
              <w:footnoteReference w:id="9"/>
            </w:r>
          </w:p>
        </w:tc>
        <w:tc>
          <w:tcPr>
            <w:tcW w:w="4354" w:type="dxa"/>
          </w:tcPr>
          <w:p>
            <w:pPr>
              <w:jc w:val="center"/>
            </w:pPr>
            <w:r>
              <w:t>Other</w:t>
            </w:r>
          </w:p>
        </w:tc>
      </w:tr>
    </w:tbl>
    <w:p/>
    <w:p>
      <w:r>
        <w:br w:type="page"/>
      </w:r>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lastRenderedPageBreak/>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w:t>
            </w:r>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71" w:name="_Toc86755220"/>
      <w:r>
        <w:t>Configuration Variables (CV’s)</w:t>
      </w:r>
      <w:bookmarkEnd w:id="71"/>
    </w:p>
    <w:p>
      <w:r>
        <w:t>The offset (24-bits) is always defined as the indexed CV address whereby the first byte corresponds to CV31 and the second byte corresponds to CV32.</w:t>
      </w:r>
    </w:p>
    <w:p>
      <w:pPr>
        <w:pStyle w:val="Heading3"/>
      </w:pPr>
      <w:bookmarkStart w:id="72" w:name="_Toc86755221"/>
      <w:r>
        <w:t>[Indexed] CV Space Overlay Mapping</w:t>
      </w:r>
      <w:bookmarkEnd w:id="72"/>
    </w:p>
    <w:p>
      <w:r>
        <w:t>Data Spaces are also (dual) mapped to the CV Space and therefore can be read out by using POM or XPOM. When this mapping occurs, the Data Space length in bytes is prepended in the CV mapping.</w:t>
      </w:r>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73" w:name="_Toc86755222"/>
      <w:r>
        <w:t>Manufacturer Specific Command Space</w:t>
      </w:r>
      <w:bookmarkEnd w:id="73"/>
    </w:p>
    <w:p>
      <w:r>
        <w:t>Manufacturers that wish to define their own custom command(s) without seeking permission from the NMRA DCC WG shall use the following packet format. It is left entirely up to the manufacturer on how to define the payload bytes</w:t>
      </w:r>
      <w:r>
        <w:t>. The</w:t>
      </w:r>
      <w:r>
        <w:t xml:space="preserve"> total packet length, including checksum, </w:t>
      </w:r>
      <w:r>
        <w:t xml:space="preserve">shall be kept </w:t>
      </w:r>
      <w:r>
        <w:t xml:space="preserve">to 16 bytes or less. This results in the number of </w:t>
      </w:r>
      <w:proofErr w:type="gramStart"/>
      <w:r>
        <w:t>manufacturer</w:t>
      </w:r>
      <w:proofErr w:type="gramEnd"/>
      <w:r>
        <w:t xml:space="preserve"> defined payload bytes being 9 or less.</w:t>
      </w:r>
    </w:p>
    <w:p>
      <w:r>
        <w:t xml:space="preserve">The feedback shall contain an ack or any other valid feedback message, as defined in </w:t>
      </w:r>
      <w:r>
        <w:t>S</w:t>
      </w:r>
      <w:r>
        <w:t xml:space="preserve">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 xml:space="preserve">{preamble} 0 11111101 0 11AAAAAA 0 AAAAAAAA 0 </w:t>
      </w:r>
      <w:r>
        <w:rPr>
          <w:rFonts w:ascii="Courier New" w:hAnsi="Courier New" w:cs="Courier New"/>
          <w:color w:val="000000"/>
          <w:sz w:val="22"/>
          <w:szCs w:val="22"/>
        </w:rPr>
        <w:t>0000HHHH</w:t>
      </w:r>
      <w:r>
        <w:rPr>
          <w:rFonts w:ascii="Courier New" w:hAnsi="Courier New" w:cs="Courier New"/>
          <w:color w:val="000000"/>
          <w:sz w:val="22"/>
          <w:szCs w:val="22"/>
        </w:rPr>
        <w:t xml:space="preserve"> 0 </w:t>
      </w:r>
      <w:r>
        <w:rPr>
          <w:rFonts w:ascii="Courier New" w:hAnsi="Courier New" w:cs="Courier New"/>
          <w:color w:val="000000"/>
          <w:sz w:val="22"/>
          <w:szCs w:val="22"/>
        </w:rPr>
        <w:t>HHHHHHHH</w:t>
      </w:r>
      <w:r>
        <w:rPr>
          <w:rFonts w:ascii="Courier New" w:hAnsi="Courier New" w:cs="Courier New"/>
          <w:color w:val="000000"/>
          <w:sz w:val="22"/>
          <w:szCs w:val="22"/>
        </w:rPr>
        <w:t xml:space="preserve"> 0 </w:t>
      </w:r>
      <w:r>
        <w:rPr>
          <w:rFonts w:ascii="Courier New" w:hAnsi="Courier New" w:cs="Courier New"/>
          <w:color w:val="000000"/>
          <w:sz w:val="22"/>
          <w:szCs w:val="22"/>
        </w:rPr>
        <w:t>{manufacturer defined payload} 0</w:t>
      </w:r>
      <w:r>
        <w:rPr>
          <w:rFonts w:ascii="Courier New" w:hAnsi="Courier New" w:cs="Courier New"/>
          <w:color w:val="000000"/>
          <w:sz w:val="22"/>
          <w:szCs w:val="22"/>
        </w:rPr>
        <w:t xml:space="preserve">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74" w:name="_Toc86755223"/>
      <w:r>
        <w:lastRenderedPageBreak/>
        <w:t>Document History</w:t>
      </w:r>
      <w:bookmarkEnd w:id="74"/>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bookmarkStart w:id="75" w:name="_Toc86755224" w:displacedByCustomXml="next"/>
    <w:sdt>
      <w:sdtPr>
        <w:id w:val="-603567981"/>
        <w:docPartObj>
          <w:docPartGallery w:val="Table of Contents"/>
          <w:docPartUnique/>
        </w:docPartObj>
      </w:sdtPr>
      <w:sdtEndPr>
        <w:rPr>
          <w:rFonts w:ascii="Times New Roman" w:hAnsi="Times New Roman"/>
          <w:bCs/>
          <w:noProof/>
          <w:kern w:val="0"/>
          <w:sz w:val="24"/>
          <w:szCs w:val="20"/>
        </w:rPr>
      </w:sdtEndPr>
      <w:sdtContent>
        <w:p>
          <w:pPr>
            <w:pStyle w:val="Heading1"/>
          </w:pPr>
          <w:r>
            <w:t>Table of Contents</w:t>
          </w:r>
          <w:bookmarkEnd w:id="75"/>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55166"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_Toc86755166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67"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_Toc86755167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68"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_Toc86755168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69"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_Toc86755169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70"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_Toc86755170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71"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_Toc86755171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72"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_Toc86755172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173"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_Toc86755173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7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_Toc86755174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7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_Toc86755175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76"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_Toc86755176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77"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_Toc86755177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78"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_Toc86755178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79"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_Toc86755179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0"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_Toc86755180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1"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_Toc86755181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_Toc86755182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3"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_Toc86755183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184"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_Toc86755184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185" w:history="1">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_Toc86755185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6"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_Toc86755186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7" w:history="1">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_Toc86755187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88"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_Toc86755188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189"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_Toc86755189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190" w:history="1">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_Toc86755190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91"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_Toc86755191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2"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_Toc86755192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3" w:history="1">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_Toc86755193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4" w:history="1">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_Toc86755194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5" w:history="1">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_Toc86755195 \h </w:instrText>
            </w:r>
            <w:r>
              <w:rPr>
                <w:noProof/>
                <w:webHidden/>
              </w:rPr>
            </w:r>
            <w:r>
              <w:rPr>
                <w:noProof/>
                <w:webHidden/>
              </w:rPr>
              <w:fldChar w:fldCharType="separate"/>
            </w:r>
            <w:r>
              <w:rPr>
                <w:noProof/>
                <w:webHidden/>
              </w:rPr>
              <w:t>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196"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_Toc86755196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7"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_Toc86755197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8" w:history="1">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_Toc86755198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199" w:history="1">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_Toc86755199 \h </w:instrText>
            </w:r>
            <w:r>
              <w:rPr>
                <w:noProof/>
                <w:webHidden/>
              </w:rPr>
            </w:r>
            <w:r>
              <w:rPr>
                <w:noProof/>
                <w:webHidden/>
              </w:rPr>
              <w:fldChar w:fldCharType="separate"/>
            </w:r>
            <w:r>
              <w:rPr>
                <w:noProof/>
                <w:webHidden/>
              </w:rPr>
              <w:t>12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0" w:history="1">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_Toc86755200 \h </w:instrText>
            </w:r>
            <w:r>
              <w:rPr>
                <w:noProof/>
                <w:webHidden/>
              </w:rPr>
            </w:r>
            <w:r>
              <w:rPr>
                <w:noProof/>
                <w:webHidden/>
              </w:rPr>
              <w:fldChar w:fldCharType="separate"/>
            </w:r>
            <w:r>
              <w:rPr>
                <w:noProof/>
                <w:webHidden/>
              </w:rPr>
              <w:t>13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1" w:history="1">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_Toc86755201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202" w:history="1">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_Toc86755202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3" w:history="1">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_Toc86755203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4"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_Toc86755204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205" w:history="1">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_Toc86755205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6" w:history="1">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_Toc86755206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7"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_Toc86755207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08" w:history="1">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_Toc86755208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209" w:history="1">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_Toc86755209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210" w:history="1">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_Toc86755210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11"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_Toc86755211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12" w:history="1">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_Toc86755212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213" w:history="1">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_Toc86755213 \h </w:instrText>
            </w:r>
            <w:r>
              <w:rPr>
                <w:noProof/>
                <w:webHidden/>
              </w:rPr>
            </w:r>
            <w:r>
              <w:rPr>
                <w:noProof/>
                <w:webHidden/>
              </w:rPr>
              <w:fldChar w:fldCharType="separate"/>
            </w:r>
            <w:r>
              <w:rPr>
                <w:noProof/>
                <w:webHidden/>
              </w:rPr>
              <w:t>18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214"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_Toc86755214 \h </w:instrText>
            </w:r>
            <w:r>
              <w:rPr>
                <w:noProof/>
                <w:webHidden/>
              </w:rPr>
            </w:r>
            <w:r>
              <w:rPr>
                <w:noProof/>
                <w:webHidden/>
              </w:rPr>
              <w:fldChar w:fldCharType="separate"/>
            </w:r>
            <w:r>
              <w:rPr>
                <w:noProof/>
                <w:webHidden/>
              </w:rPr>
              <w:t>19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15" w:history="1">
            <w:r>
              <w:rPr>
                <w:rStyle w:val="Hyperlink"/>
                <w:noProof/>
              </w:rPr>
              <w:t>7.3.1</w:t>
            </w:r>
            <w:r>
              <w:rPr>
                <w:rFonts w:asciiTheme="minorHAnsi" w:eastAsiaTheme="minorEastAsia" w:hAnsiTheme="minorHAnsi" w:cstheme="minorBidi"/>
                <w:noProof/>
                <w:color w:val="auto"/>
                <w:sz w:val="22"/>
                <w:szCs w:val="22"/>
              </w:rPr>
              <w:tab/>
            </w:r>
            <w:r>
              <w:rPr>
                <w:rStyle w:val="Hyperlink"/>
                <w:noProof/>
              </w:rPr>
              <w:t>ReadBlock Errors</w:t>
            </w:r>
            <w:r>
              <w:rPr>
                <w:noProof/>
                <w:webHidden/>
              </w:rPr>
              <w:tab/>
            </w:r>
            <w:r>
              <w:rPr>
                <w:noProof/>
                <w:webHidden/>
              </w:rPr>
              <w:fldChar w:fldCharType="begin"/>
            </w:r>
            <w:r>
              <w:rPr>
                <w:noProof/>
                <w:webHidden/>
              </w:rPr>
              <w:instrText xml:space="preserve"> PAGEREF _Toc86755215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55216"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_Toc86755216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17" w:history="1">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_Toc86755217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18" w:history="1">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_Toc86755218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19" w:history="1">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_Toc86755219 \h </w:instrText>
            </w:r>
            <w:r>
              <w:rPr>
                <w:noProof/>
                <w:webHidden/>
              </w:rPr>
            </w:r>
            <w:r>
              <w:rPr>
                <w:noProof/>
                <w:webHidden/>
              </w:rPr>
              <w:fldChar w:fldCharType="separate"/>
            </w:r>
            <w:r>
              <w:rPr>
                <w:noProof/>
                <w:webHidden/>
              </w:rPr>
              <w:t>21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20"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_Toc86755220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55221"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_Toc86755221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222"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_Toc86755222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55223"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_Toc86755223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86755224"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_Toc86755224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bookmarkStart w:id="76" w:name="_GoBack"/>
      <w:bookmarkEnd w:id="76"/>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r>
          <w:rPr>
            <w:rStyle w:val="PageNumber"/>
          </w:rPr>
          <w:t>Nov 2,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r>
          <w:rPr>
            <w:rStyle w:val="PageNumber"/>
          </w:rPr>
          <w:t>Nov 2,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w:t>
      </w:r>
      <w:proofErr w:type="spellStart"/>
      <w:r>
        <w:rPr>
          <w:b/>
          <w:bCs/>
        </w:rPr>
        <w:t>ReadBlock</w:t>
      </w:r>
      <w:proofErr w:type="spellEnd"/>
      <w:r>
        <w:rPr>
          <w:b/>
          <w:bCs/>
        </w:rPr>
        <w:t>)</w:t>
      </w:r>
      <w:r>
        <w:t xml:space="preserve">, </w:t>
      </w:r>
      <w:proofErr w:type="spellStart"/>
      <w:r>
        <w:rPr>
          <w:b/>
          <w:bCs/>
        </w:rPr>
        <w:t>ReadBlock</w:t>
      </w:r>
      <w:proofErr w:type="spellEnd"/>
      <w:r>
        <w:t xml:space="preserve">, or </w:t>
      </w:r>
      <w:proofErr w:type="spellStart"/>
      <w:r>
        <w:rPr>
          <w:b/>
          <w:bCs/>
        </w:rPr>
        <w:t>ReadBackground</w:t>
      </w:r>
      <w:proofErr w:type="spellEnd"/>
      <w:r>
        <w:t xml:space="preserve">. If </w:t>
      </w:r>
      <w:r>
        <w:rPr>
          <w:b/>
          <w:bCs/>
        </w:rPr>
        <w:t>Select (</w:t>
      </w:r>
      <w:proofErr w:type="spellStart"/>
      <w:r>
        <w:rPr>
          <w:b/>
          <w:bCs/>
        </w:rPr>
        <w:t>ReadBlock</w:t>
      </w:r>
      <w:proofErr w:type="spellEnd"/>
      <w:r>
        <w:rPr>
          <w:b/>
          <w:bCs/>
        </w:rPr>
        <w:t>)</w:t>
      </w:r>
      <w:r>
        <w:t xml:space="preserve"> or </w:t>
      </w:r>
      <w:proofErr w:type="spellStart"/>
      <w:r>
        <w:rPr>
          <w:b/>
          <w:bCs/>
        </w:rPr>
        <w:t>ReadBlock</w:t>
      </w:r>
      <w:proofErr w:type="spellEnd"/>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4">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5">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6">
    <w:p>
      <w:pPr>
        <w:pStyle w:val="FootnoteText"/>
      </w:pPr>
      <w:r>
        <w:rPr>
          <w:rStyle w:val="FootnoteReference"/>
        </w:rPr>
        <w:footnoteRef/>
      </w:r>
      <w:r>
        <w:t xml:space="preserve"> Motor control parameters such as min/mid/max speed, speed tables, braking rate/distance, acceleration/deceleration rate, </w:t>
      </w:r>
      <w:proofErr w:type="spellStart"/>
      <w:r>
        <w:t>etc</w:t>
      </w:r>
      <w:proofErr w:type="spellEnd"/>
      <w:r>
        <w:t>…</w:t>
      </w:r>
    </w:p>
  </w:footnote>
  <w:footnote w:id="7">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8">
    <w:p>
      <w:pPr>
        <w:pStyle w:val="FootnoteText"/>
      </w:pPr>
      <w:r>
        <w:rPr>
          <w:rStyle w:val="FootnoteReference"/>
        </w:rPr>
        <w:footnoteRef/>
      </w:r>
      <w:r>
        <w:t xml:space="preserve"> The Decoder is not required to implement this feature.</w:t>
      </w:r>
    </w:p>
  </w:footnote>
  <w:footnote w:id="9">
    <w:p>
      <w:pPr>
        <w:pStyle w:val="FootnoteText"/>
      </w:pPr>
      <w:r>
        <w:rPr>
          <w:rStyle w:val="FootnoteReference"/>
        </w:rPr>
        <w:footnoteRef/>
      </w:r>
      <w:r>
        <w:t xml:space="preserve"> A “mobile” decoder used in a </w:t>
      </w:r>
      <w:proofErr w:type="gramStart"/>
      <w:r>
        <w:t>stationary applications</w:t>
      </w:r>
      <w:proofErr w:type="gramEnd"/>
      <w:r>
        <w:t xml:space="preserve"> such as building lighting, stationary crane, </w:t>
      </w:r>
      <w:proofErr w:type="spellStart"/>
      <w:r>
        <w:t>etc</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8"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7"/>
  </w:num>
  <w:num w:numId="4">
    <w:abstractNumId w:val="21"/>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5"/>
  </w:num>
  <w:num w:numId="19">
    <w:abstractNumId w:val="26"/>
  </w:num>
  <w:num w:numId="20">
    <w:abstractNumId w:val="23"/>
  </w:num>
  <w:num w:numId="21">
    <w:abstractNumId w:val="20"/>
  </w:num>
  <w:num w:numId="22">
    <w:abstractNumId w:val="16"/>
  </w:num>
  <w:num w:numId="23">
    <w:abstractNumId w:val="11"/>
  </w:num>
  <w:num w:numId="24">
    <w:abstractNumId w:val="19"/>
  </w:num>
  <w:num w:numId="25">
    <w:abstractNumId w:val="15"/>
  </w:num>
  <w:num w:numId="26">
    <w:abstractNumId w:val="14"/>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64E2D-E76D-4CEC-80AF-309EB057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1775</TotalTime>
  <Pages>1</Pages>
  <Words>8230</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2021 National Model Railroad Association, Inc.</Company>
  <LinksUpToDate>false</LinksUpToDate>
  <CharactersWithSpaces>55037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38</cp:revision>
  <cp:lastPrinted>2011-06-18T21:26:00Z</cp:lastPrinted>
  <dcterms:created xsi:type="dcterms:W3CDTF">2021-10-10T16:33:00Z</dcterms:created>
  <dcterms:modified xsi:type="dcterms:W3CDTF">2021-11-02T19:20:00Z</dcterms:modified>
</cp:coreProperties>
</file>