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1400"/>
        <w:jc w:val="center"/>
      </w:pPr>
      <w:r>
        <w:rPr>
          <w:rFonts w:ascii="Arial" w:cs="Arial" w:eastAsia="Arial" w:hAnsi="Arial"/>
          <w:b/>
          <w:bCs/>
          <w:color w:val="4338CA"/>
          <w:sz w:val="60"/>
          <w:szCs w:val="60"/>
        </w:rPr>
        <w:t xml:space="preserve">IdentitySyncPro</w:t>
      </w:r>
    </w:p>
    <w:p>
      <w:pPr>
        <w:bidi/>
        <w:spacing w:after="0" w:before="120"/>
        <w:jc w:val="center"/>
      </w:pPr>
      <w:r>
        <w:rPr>
          <w:rFonts w:ascii="Arial" w:cs="Arial" w:eastAsia="Arial" w:hAnsi="Arial"/>
          <w:color w:val="1F2937"/>
          <w:sz w:val="30"/>
          <w:szCs w:val="30"/>
          <w:rtl/>
        </w:rPr>
        <w:t xml:space="preserve">منصة إدارة ومزامنة الهويات المؤسسية</w:t>
      </w:r>
    </w:p>
    <w:p>
      <w:pPr>
        <w:bidi/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Enterprise Identity Management &amp; Synchronization Platform</w:t>
      </w:r>
    </w:p>
    <w:p>
      <w:pPr>
        <w:pBdr>
          <w:top w:val="single" w:color="4338CA" w:sz="8" w:space="10"/>
          <w:bottom w:val="single" w:color="4338CA" w:sz="8" w:space="10"/>
        </w:pBdr>
        <w:bidi/>
        <w:spacing w:after="0" w:before="700"/>
        <w:jc w:val="center"/>
      </w:pPr>
      <w:r>
        <w:rPr>
          <w:rFonts w:ascii="Arial" w:cs="Arial" w:eastAsia="Arial" w:hAnsi="Arial"/>
          <w:b/>
          <w:bCs/>
          <w:color w:val="1F2937"/>
          <w:sz w:val="34"/>
          <w:szCs w:val="34"/>
          <w:rtl/>
        </w:rPr>
        <w:t xml:space="preserve">المراجعة الشاملة النهائية — تقرير الجاهزية</w:t>
      </w:r>
    </w:p>
    <w:p>
      <w:pPr>
        <w:bidi/>
        <w:spacing w:after="0" w:before="500"/>
        <w:jc w:val="center"/>
      </w:pPr>
      <w:r>
        <w:rPr>
          <w:rFonts w:ascii="Arial" w:cs="Arial" w:eastAsia="Arial" w:hAnsi="Arial"/>
          <w:b/>
          <w:bCs/>
          <w:color w:val="047857"/>
          <w:sz w:val="22"/>
          <w:szCs w:val="22"/>
          <w:rtl/>
        </w:rPr>
        <w:t xml:space="preserve">مرجع إنتاجي مثبت: يعمل في الإنتاج ويزامن أكثر من 111,000 هوية بنجاح</w:t>
      </w:r>
    </w:p>
    <w:p>
      <w:pPr>
        <w:bidi/>
        <w:spacing w:after="0" w:before="24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التاريخ: 13 يوليو 2026</w:t>
      </w:r>
    </w:p>
    <w:p>
      <w:r>
        <w:br/>
        <w:t xml:space="preserve"/>
      </w:r>
    </w:p>
    <w:p>
      <w:pPr>
        <w:pageBreakBefore/>
      </w:pPr>
    </w:p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١. نبذة تنفيذية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IdentitySyncPro منصة متكاملة لإدارة الهويات وحقوق الوصول (IAM) تصلح لأي جهة — جامعة، وزارة، إمارة، أو شركة. تعمل بنمط Metaverse المعتمد في الأنظمة العالمية (MIM/FIM) كجسر ذكي بين قواعد البيانات المصدرية (Oracle و SQL Server) وبنية Active Directory، فتُلغي الحاجة إلى أي تدخل يدوي في إدارة الحسابات.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النظام غير مرتبط بجهة معينة: متعدد الجهات والمصادر، بمخطط أعمدة حر بالكامل، وحزمة أمان مكتملة، وخدمة ذاتية لإعادة تعيين كلمة المرور. هذا التقرير يلخّص نتيجة مراجعة فنية شاملة للنظام استعداداً لطرحه في مناقصة.</w:t>
      </w:r>
    </w:p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٢. الحالة التقنية (تم التحقق منها فعلياً)</w:t>
      </w:r>
    </w:p>
    <w:tbl>
      <w:tblPr>
        <w:bidiVisual/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4338C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المؤشر</w:t>
            </w:r>
          </w:p>
        </w:tc>
        <w:tc>
          <w:tcPr>
            <w:tcW w:type="dxa" w:w="4400"/>
            <w:shd w:fill="4338C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النتيجة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البناء (Build)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  <w:rtl/>
              </w:rPr>
              <w:t xml:space="preserve">ناجح — صفر أخطاء</w:t>
            </w:r>
          </w:p>
        </w:tc>
      </w:tr>
      <w:tr>
        <w:tc>
          <w:tcPr>
            <w:tcW w:type="dxa" w:w="4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اختبارات الوحدة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  <w:rtl/>
              </w:rPr>
              <w:t xml:space="preserve">34 / 34 ناجحة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مزامنة المستودع (GitHub)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  <w:rtl/>
              </w:rPr>
              <w:t xml:space="preserve">محدّث بالكامل، لا تغييرات معلّقة</w:t>
            </w:r>
          </w:p>
        </w:tc>
      </w:tr>
      <w:tr>
        <w:tc>
          <w:tcPr>
            <w:tcW w:type="dxa" w:w="4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الأسرار في الكود المصدري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  <w:rtl/>
              </w:rPr>
              <w:t xml:space="preserve">نظيف — قيم افتراضية فقط (placeholders)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ملاحظات TODO / FIXME / كود ناقص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  <w:rtl/>
              </w:rPr>
              <w:t xml:space="preserve">لا يوجد أي منها</w:t>
            </w:r>
          </w:p>
        </w:tc>
      </w:tr>
      <w:tr>
        <w:tc>
          <w:tcPr>
            <w:tcW w:type="dxa" w:w="4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حجم الكود</w:t>
            </w:r>
          </w:p>
        </w:tc>
        <w:tc>
          <w:tcPr>
            <w:tcW w:type="dxa" w:w="4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≈ 18,500 سطر · 21 متحكّم · 13 هجرة قاعدة بيانات</w:t>
            </w:r>
          </w:p>
        </w:tc>
      </w:tr>
    </w:tbl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٣. نقاط القوة الجاهزة للعرض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محرك المزامنة (قلب النظام):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مزامنة كاملة وتغييرات وفردية، مخزن Metaverse بنمط MIM/FIM، كشف تغيير بالبصمات (SHA256)، قفل موزّع، Circuit Breaker، عزل الحالات المتعثّرة، وفلسفة Safe Sync (لا حذف ولا تعطيل لأي حساب).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متعدد الجهات والمصادر: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عدة جهات في تثبيت واحد (طلاب، موظفون...)، مصدرا بيانات Oracle و SQL Server، ومخطط أعمدة حر بالكامل، وجدولة مستقلة لكل جهة.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الأمان والتحكم بالوصول: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مصادقة بأدوار (مدير / مشغّل / مشاهد)، دخول محلي أو عبر Active Directory، قفل الحساب، حماية CSRF شاملة، تشفير الأسرار المخزّنة، وسجل تدقيق كامل.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الخدمة الذاتية لكلمة المرور (SSPR):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وحدة مستقلة تتحقق من Active Directory مباشرة، تولّد كلمة مرور وترسلها عبر SMS، بحدود قابلة للضبط، وبلغتين، وحماية من تعداد الحسابات، وسجل عمليات مع تصدير Excel.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مرجع إنتاجي حقيقي: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يعمل في الإنتاج لدى جهة حكومية تعليمية كبرى ويزامن أكثر من 111,000 هوية بنجاح — أقوى دليل عملي أمام اللجنة الفنية.</w:t>
      </w:r>
    </w:p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٤. ملاحظات قبل التسليم (إعداد نشر — ليست عيوباً)</w:t>
      </w:r>
    </w:p>
    <w:tbl>
      <w:tblPr>
        <w:bidiVisual/>
        <w:tblW w:type="dxa" w:w="9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4338C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البند</w:t>
            </w:r>
          </w:p>
        </w:tc>
        <w:tc>
          <w:tcPr>
            <w:tcW w:type="dxa" w:w="5600"/>
            <w:shd w:fill="4338C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التوصية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سلسلة اتصال قاعدة التطبيق في appsettings نصّاً صريحاً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تُضبط لكل تثبيت؛ بقية الأسرار مشفّرة. يُفضّل استخدام User Secrets أو متغيرات البيئة عند النشر النهائي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الإعداد AllowedHosts = "*" في الإنتاج</w:t>
            </w:r>
          </w:p>
        </w:tc>
        <w:tc>
          <w:tcPr>
            <w:tcW w:type="dxa" w:w="5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يُقيَّد باسم نطاق الجهة عند النشر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فرض HTTPS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يُضبط على مستوى الاستضافة (IIS) عند النشر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مجلّد مفاتيح التشفير DataProtection-Keys</w:t>
            </w:r>
          </w:p>
        </w:tc>
        <w:tc>
          <w:tcPr>
            <w:tcW w:type="dxa" w:w="5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  <w:rtl/>
              </w:rPr>
              <w:t xml:space="preserve">نسخة احتياطية إلزامية — فقدانه يعني تعذّر فكّ الأسرار المخزّنة</w:t>
            </w:r>
          </w:p>
        </w:tc>
      </w:tr>
    </w:tbl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٥. خارطة الطريق المستقبلية (خارج نطاق المرحلة الحالية)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  <w:rtl/>
        </w:rPr>
        <w:t xml:space="preserve">البنود التالية ليست عيوباً بل حدود نطاق واضحة، تُعرض بثقة كخطة تطوير مستقبلية:</w:t>
      </w:r>
    </w:p>
    <w:p>
      <w:pPr>
        <w:pStyle w:val="ListParagraph"/>
        <w:numPr>
          <w:ilvl w:val="0"/>
          <w:numId w:val="1"/>
        </w:numPr>
        <w:bidi/>
        <w:spacing w:after="7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المصادقة الثنائية (MFA) للوحة التحكم.</w:t>
      </w:r>
    </w:p>
    <w:p>
      <w:pPr>
        <w:pStyle w:val="ListParagraph"/>
        <w:numPr>
          <w:ilvl w:val="0"/>
          <w:numId w:val="1"/>
        </w:numPr>
        <w:bidi/>
        <w:spacing w:after="7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أهداف متعددة: النظام حالياً يكتب إلى Active Directory فقط (بذرة SCIM موجودة) — دون Entra ID أو أنظمة أخرى بعد.</w:t>
      </w:r>
    </w:p>
    <w:p>
      <w:pPr>
        <w:pStyle w:val="ListParagraph"/>
        <w:numPr>
          <w:ilvl w:val="0"/>
          <w:numId w:val="1"/>
        </w:numPr>
        <w:bidi/>
        <w:spacing w:after="7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حوكمة الهويات (IGA): طلبات الصلاحيات والموافقات، شهادات المراجعة الدورية، وإدارة الأدوار — وهي منتجات منفصلة كبيرة.</w:t>
      </w:r>
    </w:p>
    <w:p>
      <w:pPr>
        <w:pStyle w:val="ListParagraph"/>
        <w:numPr>
          <w:ilvl w:val="0"/>
          <w:numId w:val="1"/>
        </w:numPr>
        <w:bidi/>
        <w:spacing w:after="7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اتجاه المزامنة: أحادي (من المصدر إلى AD) دون سحب التغييرات من AD.</w:t>
      </w:r>
    </w:p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٦. توصيات للعرض أمام اللجنة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جهّز إجابتين مسبقاً: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«من يدعم النظام؟» (نموذج دعم + دليل التشغيل RUNBOOK متوفر)، و«هل خضع لفحص اختراق؟» (بعد تفعيل المصادقة، فحص أمني موثّق يقلب السؤال لصالحك).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  <w:rtl/>
        </w:rPr>
        <w:t xml:space="preserve">سيناريو العرض الحي: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  <w:rtl/>
        </w:rPr>
        <w:t xml:space="preserve">مزامنة بدومين حقيقي ← إنشاء حساب ← تجربة الخدمة الذاتية بحساب تجريبي يصله رمز وكلمة مرور ← ثم إظهار «الرد الموحّد» ببيانات وهمية كإثبات عملي لحماية النظام من تعداد الحسابات.</w:t>
      </w:r>
    </w:p>
    <w:p>
      <w:pPr>
        <w:pStyle w:val="Heading1"/>
        <w:pBdr>
          <w:bottom w:val="single" w:color="4338CA" w:sz="10" w:space="6"/>
        </w:pBdr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4338CA"/>
          <w:sz w:val="30"/>
          <w:szCs w:val="30"/>
          <w:rtl/>
        </w:rPr>
        <w:t xml:space="preserve">٧. الخلاصة</w:t>
      </w:r>
    </w:p>
    <w:p>
      <w:pPr>
        <w:pBdr>
          <w:top w:val="single" w:color="4338CA" w:sz="2"/>
          <w:bottom w:val="single" w:color="4338CA" w:sz="2"/>
          <w:left w:val="single" w:color="4338CA" w:sz="2"/>
          <w:right w:val="single" w:color="4338CA" w:sz="2"/>
        </w:pBdr>
        <w:shd w:fill="EEF2FF" w:color="auto" w:val="clear"/>
        <w:bidi/>
        <w:spacing w:after="120" w:before="6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النظام جاهز فنياً للمناقصة: نظيف، مختبَر، آمن، وبمرجع إنتاجي حقيقي. جميع البنود المتبقية إما إعدادات نشر أو توسّعات مستقبلية اختيارية — ولا يوجد أي عائق فني أمام التقديم.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6B7280"/>
        <w:sz w:val="16"/>
        <w:szCs w:val="16"/>
        <w:rtl/>
      </w:rPr>
      <w:t xml:space="preserve">IdentitySyncPro — تقرير الجاهزية للمناقصة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300"/>
      </w:pPr>
      <w:rPr>
        <w:b/>
        <w:bCs/>
        <w:color w:val="4338C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300"/>
      </w:pPr>
      <w:rPr>
        <w:b/>
        <w:bCs/>
        <w:color w:val="4338C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المراجعة الشاملة النهائية</dc:title>
  <dc:creator>IdentitySyncPro</dc:creator>
  <cp:lastModifiedBy>Un-named</cp:lastModifiedBy>
  <cp:revision>1</cp:revision>
  <dcterms:created xsi:type="dcterms:W3CDTF">2026-07-13T15:27:59.421Z</dcterms:created>
  <dcterms:modified xsi:type="dcterms:W3CDTF">2026-07-13T15:27:59.422Z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