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01A2458" w:rsidP="5E1A5F4A" w:rsidRDefault="601A2458" w14:paraId="3D62C36A" w14:textId="3F15B2D8">
      <w:pPr>
        <w:spacing w:before="0" w:beforeAutospacing="off" w:after="0" w:afterAutospacing="off"/>
        <w:jc w:val="center"/>
      </w:pPr>
      <w:r w:rsidRPr="5E1A5F4A" w:rsidR="601A2458">
        <w:rPr>
          <w:rFonts w:ascii="Times New Roman" w:hAnsi="Times New Roman" w:eastAsia="Times New Roman" w:cs="Times New Roman"/>
          <w:b w:val="0"/>
          <w:bCs w:val="0"/>
          <w:i w:val="0"/>
          <w:iCs w:val="0"/>
          <w:strike w:val="0"/>
          <w:dstrike w:val="0"/>
          <w:noProof w:val="0"/>
          <w:color w:val="4EA72E" w:themeColor="accent6" w:themeTint="FF" w:themeShade="FF"/>
          <w:sz w:val="24"/>
          <w:szCs w:val="24"/>
          <w:u w:val="none"/>
          <w:lang w:val="en-US"/>
        </w:rPr>
        <w:t>REDI@CSU</w:t>
      </w:r>
    </w:p>
    <w:p w:rsidR="601A2458" w:rsidP="5E1A5F4A" w:rsidRDefault="601A2458" w14:paraId="51E03F5F" w14:textId="1F77BC92">
      <w:pPr>
        <w:spacing w:before="0" w:beforeAutospacing="off" w:after="0" w:afterAutospacing="off"/>
        <w:jc w:val="center"/>
      </w:pPr>
      <w:r w:rsidRPr="5E1A5F4A" w:rsidR="601A245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Healthcare Supply for Migrant Agricultural Workers</w:t>
      </w:r>
    </w:p>
    <w:p w:rsidR="601A2458" w:rsidP="5E1A5F4A" w:rsidRDefault="601A2458" w14:paraId="40DA6E85" w14:textId="5CA5CFBA">
      <w:pPr>
        <w:spacing w:before="0" w:beforeAutospacing="off" w:after="0" w:afterAutospacing="off"/>
        <w:jc w:val="center"/>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REDI Report – May 2025</w:t>
      </w:r>
    </w:p>
    <w:p w:rsidR="601A2458" w:rsidP="5E1A5F4A" w:rsidRDefault="601A2458" w14:paraId="52133C38" w14:textId="6D4D2EFF">
      <w:pPr>
        <w:spacing w:before="0" w:beforeAutospacing="off" w:after="0" w:afterAutospacing="off"/>
        <w:jc w:val="center"/>
      </w:pPr>
      <w:hyperlink r:id="R4d74e6fad1c64721">
        <w:r w:rsidRPr="5E1A5F4A" w:rsidR="601A2458">
          <w:rPr>
            <w:rStyle w:val="Hyperlink"/>
            <w:rFonts w:ascii="Times New Roman" w:hAnsi="Times New Roman" w:eastAsia="Times New Roman" w:cs="Times New Roman"/>
            <w:b w:val="0"/>
            <w:bCs w:val="0"/>
            <w:i w:val="1"/>
            <w:iCs w:val="1"/>
            <w:strike w:val="0"/>
            <w:dstrike w:val="0"/>
            <w:noProof w:val="0"/>
            <w:color w:val="3C78D8"/>
            <w:sz w:val="24"/>
            <w:szCs w:val="24"/>
            <w:u w:val="none"/>
            <w:lang w:val="en-US"/>
          </w:rPr>
          <w:t>https://csuredi.org/</w:t>
        </w:r>
      </w:hyperlink>
    </w:p>
    <w:p w:rsidR="601A2458" w:rsidP="5E1A5F4A" w:rsidRDefault="601A2458" w14:paraId="15CA164E" w14:textId="3365CDCA">
      <w:pPr>
        <w:pStyle w:val="ListParagraph"/>
        <w:numPr>
          <w:ilvl w:val="0"/>
          <w:numId w:val="3"/>
        </w:num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There is a large gap in the healthcare supply for migrant agricultural workers.</w:t>
      </w:r>
    </w:p>
    <w:p w:rsidR="601A2458" w:rsidP="5E1A5F4A" w:rsidRDefault="601A2458" w14:paraId="38F26B31" w14:textId="1500346D">
      <w:pPr>
        <w:pStyle w:val="ListParagraph"/>
        <w:numPr>
          <w:ilvl w:val="0"/>
          <w:numId w:val="3"/>
        </w:num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distribution of migrant health centers does not align with the locations or population concentrations of H-2A workers.</w:t>
      </w:r>
    </w:p>
    <w:p w:rsidR="5E1A5F4A" w:rsidRDefault="5E1A5F4A" w14:paraId="77A43512" w14:textId="39AB78B6"/>
    <w:p w:rsidR="601A2458" w:rsidP="5E1A5F4A" w:rsidRDefault="601A2458" w14:paraId="0DD358A7" w14:textId="3744C456">
      <w:pPr>
        <w:spacing w:before="0" w:beforeAutospacing="off" w:after="0" w:afterAutospacing="off"/>
      </w:pPr>
      <w:r w:rsidRPr="5E1A5F4A" w:rsidR="601A245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Overview</w:t>
      </w:r>
    </w:p>
    <w:p w:rsidR="601A2458" w:rsidP="5E1A5F4A" w:rsidRDefault="601A2458" w14:paraId="699B9B26" w14:textId="19B8E37C">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Every summer, thousands of migrant farm workers travel to rural states to produce the food we eat. But when they get sick or injured, they may have nowhere to go. Analyzing the correlation between H-2A workers, environmental risk, and quantity of migrant health centers (MHCs) provides insight into the availability of specialized healthcare for migrant workers and their families. This report investigates where these workers are located and whether the number of health centers meant to serve them keeps up. </w:t>
      </w:r>
    </w:p>
    <w:p w:rsidR="601A2458" w:rsidP="5E1A5F4A" w:rsidRDefault="601A2458" w14:paraId="1F4E8AD0" w14:textId="4FA17BEB">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H-2A visa allows agricultural firms, in the face of a labor shortage, to bring in and employ foreign workers on a temporary or seasonal basis. MHCs provide medical services specialized for these migrant populations. They are equipped to address occupational health problems for migrant agricultural workers, such as skin disease or respiratory problems caused by pesticides.</w:t>
      </w:r>
    </w:p>
    <w:p w:rsidR="5E1A5F4A" w:rsidRDefault="5E1A5F4A" w14:paraId="27414C9E" w14:textId="7DBDD92A"/>
    <w:p w:rsidR="601A2458" w:rsidP="5E1A5F4A" w:rsidRDefault="601A2458" w14:paraId="1629C7DA" w14:textId="34865C23">
      <w:pPr>
        <w:spacing w:before="0" w:beforeAutospacing="off" w:after="0" w:afterAutospacing="off"/>
      </w:pPr>
      <w:r w:rsidRPr="5E1A5F4A" w:rsidR="601A245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Migrant Healthcare Supply</w:t>
      </w:r>
    </w:p>
    <w:p w:rsidR="601A2458" w:rsidP="5E1A5F4A" w:rsidRDefault="601A2458" w14:paraId="3C6EE713" w14:textId="7C8B4789">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total, 12,893 H-2A agricultural workers </w:t>
      </w: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reside</w:t>
      </w: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Colorado, Wyoming, Utah, Montana, North Dakota, and South Dakota. There are 56 MHCs across all six states. Colorado has the most with 37 facilities, while South Dakota and Wyoming have </w:t>
      </w:r>
      <w:r w:rsidRPr="5E1A5F4A" w:rsidR="6523885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none</w:t>
      </w: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w:rsidR="5E1A5F4A" w:rsidP="5E1A5F4A" w:rsidRDefault="5E1A5F4A" w14:paraId="60A0426D" w14:textId="30F861D9">
      <w:pPr>
        <w:spacing w:before="0" w:beforeAutospacing="off" w:after="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601A2458" w:rsidP="5E1A5F4A" w:rsidRDefault="601A2458" w14:paraId="6D219E0E" w14:textId="1422F9EB">
      <w:pPr>
        <w:spacing w:before="0" w:beforeAutospacing="off" w:after="0" w:afterAutospacing="off"/>
        <w:ind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601A2458">
        <w:drawing>
          <wp:inline wp14:editId="6E8A7C69" wp14:anchorId="144D728B">
            <wp:extent cx="1924050" cy="2476500"/>
            <wp:effectExtent l="9525" t="9525" r="9525" b="9525"/>
            <wp:docPr id="613890015" name="" title=""/>
            <wp:cNvGraphicFramePr>
              <a:graphicFrameLocks noChangeAspect="1"/>
            </wp:cNvGraphicFramePr>
            <a:graphic>
              <a:graphicData uri="http://schemas.openxmlformats.org/drawingml/2006/picture">
                <pic:pic>
                  <pic:nvPicPr>
                    <pic:cNvPr id="0" name=""/>
                    <pic:cNvPicPr/>
                  </pic:nvPicPr>
                  <pic:blipFill>
                    <a:blip r:embed="R099520764f8d4bc8">
                      <a:extLst>
                        <a:ext xmlns:a="http://schemas.openxmlformats.org/drawingml/2006/main" uri="{28A0092B-C50C-407E-A947-70E740481C1C}">
                          <a14:useLocalDpi val="0"/>
                        </a:ext>
                      </a:extLst>
                    </a:blip>
                    <a:stretch>
                      <a:fillRect/>
                    </a:stretch>
                  </pic:blipFill>
                  <pic:spPr>
                    <a:xfrm>
                      <a:off x="0" y="0"/>
                      <a:ext cx="1924050" cy="2476500"/>
                    </a:xfrm>
                    <a:prstGeom prst="rect">
                      <a:avLst/>
                    </a:prstGeom>
                    <a:ln w="9525">
                      <a:solidFill>
                        <a:schemeClr val="tx1"/>
                      </a:solidFill>
                      <a:prstDash val="solid"/>
                    </a:ln>
                  </pic:spPr>
                </pic:pic>
              </a:graphicData>
            </a:graphic>
          </wp:inline>
        </w:drawing>
      </w: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601A2458">
        <w:drawing>
          <wp:inline wp14:editId="2D679842" wp14:anchorId="59453B0C">
            <wp:extent cx="1685925" cy="2476500"/>
            <wp:effectExtent l="9525" t="9525" r="9525" b="9525"/>
            <wp:docPr id="1280587388" name="" title=""/>
            <wp:cNvGraphicFramePr>
              <a:graphicFrameLocks noChangeAspect="1"/>
            </wp:cNvGraphicFramePr>
            <a:graphic>
              <a:graphicData uri="http://schemas.openxmlformats.org/drawingml/2006/picture">
                <pic:pic>
                  <pic:nvPicPr>
                    <pic:cNvPr id="0" name=""/>
                    <pic:cNvPicPr/>
                  </pic:nvPicPr>
                  <pic:blipFill>
                    <a:blip r:embed="Red87598914694f0a">
                      <a:extLst>
                        <a:ext xmlns:a="http://schemas.openxmlformats.org/drawingml/2006/main" uri="{28A0092B-C50C-407E-A947-70E740481C1C}">
                          <a14:useLocalDpi val="0"/>
                        </a:ext>
                      </a:extLst>
                    </a:blip>
                    <a:stretch>
                      <a:fillRect/>
                    </a:stretch>
                  </pic:blipFill>
                  <pic:spPr>
                    <a:xfrm>
                      <a:off x="0" y="0"/>
                      <a:ext cx="1685925" cy="2476500"/>
                    </a:xfrm>
                    <a:prstGeom prst="rect">
                      <a:avLst/>
                    </a:prstGeom>
                    <a:ln w="9525">
                      <a:solidFill>
                        <a:schemeClr val="tx1"/>
                      </a:solidFill>
                      <a:prstDash val="solid"/>
                    </a:ln>
                  </pic:spPr>
                </pic:pic>
              </a:graphicData>
            </a:graphic>
          </wp:inline>
        </w:drawing>
      </w:r>
    </w:p>
    <w:p w:rsidR="601A2458" w:rsidP="5E1A5F4A" w:rsidRDefault="601A2458" w14:paraId="20609ADA" w14:textId="066B6A5D">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Figure 1: Number of H-2A workers by state       Figure 2: Number of MHCs per state</w:t>
      </w:r>
    </w:p>
    <w:p w:rsidR="5E1A5F4A" w:rsidRDefault="5E1A5F4A" w14:paraId="398191B5" w14:textId="1A102F4C"/>
    <w:p w:rsidR="601A2458" w:rsidP="5E1A5F4A" w:rsidRDefault="601A2458" w14:paraId="3D9E45D8" w14:textId="4406CF17">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When we compare where migrant farm workers live to where migrant health centers are located, the connection is weak. Statistically, the correlation is just 0.143 on a scale from -1 to 1—close to zero. On an individual scale by state, we see the following correlations (Wyoming and South Dakota are empty because they have zero MHCs), which are better, but only slightly.</w:t>
      </w:r>
    </w:p>
    <w:p w:rsidR="601A2458" w:rsidP="5E1A5F4A" w:rsidRDefault="601A2458" w14:paraId="6E6AC854" w14:textId="11EE9D1D">
      <w:pPr>
        <w:spacing w:before="0" w:beforeAutospacing="off" w:after="0" w:afterAutospacing="off"/>
        <w:jc w:val="center"/>
      </w:pPr>
      <w:r w:rsidR="601A2458">
        <w:drawing>
          <wp:inline wp14:editId="00C04ED6" wp14:anchorId="0B4D497C">
            <wp:extent cx="5800725" cy="1495425"/>
            <wp:effectExtent l="9525" t="9525" r="9525" b="9525"/>
            <wp:docPr id="884345511" name="" title=""/>
            <wp:cNvGraphicFramePr>
              <a:graphicFrameLocks noChangeAspect="1"/>
            </wp:cNvGraphicFramePr>
            <a:graphic>
              <a:graphicData uri="http://schemas.openxmlformats.org/drawingml/2006/picture">
                <pic:pic>
                  <pic:nvPicPr>
                    <pic:cNvPr id="0" name=""/>
                    <pic:cNvPicPr/>
                  </pic:nvPicPr>
                  <pic:blipFill>
                    <a:blip r:embed="R957147ef35ad4228">
                      <a:extLst>
                        <a:ext xmlns:a="http://schemas.openxmlformats.org/drawingml/2006/main" uri="{28A0092B-C50C-407E-A947-70E740481C1C}">
                          <a14:useLocalDpi val="0"/>
                        </a:ext>
                      </a:extLst>
                    </a:blip>
                    <a:stretch>
                      <a:fillRect/>
                    </a:stretch>
                  </pic:blipFill>
                  <pic:spPr>
                    <a:xfrm>
                      <a:off x="0" y="0"/>
                      <a:ext cx="5800725" cy="1495425"/>
                    </a:xfrm>
                    <a:prstGeom prst="rect">
                      <a:avLst/>
                    </a:prstGeom>
                    <a:ln w="9525">
                      <a:solidFill>
                        <a:schemeClr val="tx1"/>
                      </a:solidFill>
                      <a:prstDash val="solid"/>
                    </a:ln>
                  </pic:spPr>
                </pic:pic>
              </a:graphicData>
            </a:graphic>
          </wp:inline>
        </w:drawing>
      </w:r>
    </w:p>
    <w:p w:rsidR="601A2458" w:rsidP="5E1A5F4A" w:rsidRDefault="601A2458" w14:paraId="1C24DE0D" w14:textId="071CFBB9">
      <w:pPr>
        <w:spacing w:before="0" w:beforeAutospacing="off" w:after="0" w:afterAutospacing="off"/>
        <w:jc w:val="center"/>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Table 1: Correlation between H-2A workers and MHCs</w:t>
      </w:r>
    </w:p>
    <w:p w:rsidR="5E1A5F4A" w:rsidRDefault="5E1A5F4A" w14:paraId="0C0ED55D" w14:textId="367F157B"/>
    <w:p w:rsidR="601A2458" w:rsidP="5E1A5F4A" w:rsidRDefault="601A2458" w14:paraId="7F6E18C8" w14:textId="1C9474DA">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North Dakota has the highest correlation between H-2A workers and MHCs, and Utah has the lowest. That being said, a coefficient of 0.473, or a coefficient less than 0.5 in general, signifies a relatively weak connection between the two variables. While the correlation is the highest of all six states, it must be noted that there is only a single MHC in North Dakota, settled in Walsh County, for 3,600+ workers and their families. While Walsh County is home to more H-2A workers than any other county in North Dakota, the migrant healthcare supply for the next largest populations, such as those in Pembina, McLean, and Ward counties, is nonexistent.</w:t>
      </w:r>
    </w:p>
    <w:p w:rsidR="601A2458" w:rsidP="5E1A5F4A" w:rsidRDefault="601A2458" w14:paraId="7BE555B0" w14:textId="4E008346">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Colorado has the highest number of MHCs, but the second lowest correlation with the H-2A worker population, another example of the lack of migrant healthcare supply. Adams County has the highest population by county, but only two MHCs. Mesa County is a close second with no MHCs at all.</w:t>
      </w:r>
    </w:p>
    <w:p w:rsidR="601A2458" w:rsidP="5E1A5F4A" w:rsidRDefault="601A2458" w14:paraId="60D71696" w14:textId="3D3FEF79">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Utah, Utah County has the largest H-2A worker population– almost 3.45 times larger than the second highest– and yet, there are no MHCs within the borders of Utah County, terribly under-serving the priority population.</w:t>
      </w:r>
    </w:p>
    <w:p w:rsidR="5E1A5F4A" w:rsidRDefault="5E1A5F4A" w14:paraId="35C730EB" w14:textId="450DA29C"/>
    <w:p w:rsidR="601A2458" w:rsidP="5E1A5F4A" w:rsidRDefault="601A2458" w14:paraId="7486C0EF" w14:textId="535685FE">
      <w:pPr>
        <w:spacing w:before="0" w:beforeAutospacing="off" w:after="0" w:afterAutospacing="off"/>
      </w:pPr>
      <w:r w:rsidRPr="5E1A5F4A" w:rsidR="601A245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Exposure to Heat, Fire, and Drought</w:t>
      </w:r>
    </w:p>
    <w:p w:rsidR="601A2458" w:rsidP="5E1A5F4A" w:rsidRDefault="601A2458" w14:paraId="44954071" w14:textId="0F5636C4">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Many migrant workers live and work in areas with the looming risk of wildfires, heat waves, and droughts. Yet, those same areas often have no MHCs at all. In other words, the people most exposed to climate threats have the least access to care. There are more workers where exposure is higher and limited facilities available nearby. This further signifies the inconsistent supply of healthcare for migrant workers and their families. Correlations between MHCs are low in general, meaning there are </w:t>
      </w: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not many</w:t>
      </w: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facilities where exposure is prominent. Below are correlations of the H-2A Population and MHCs against wildfire, heat wave, and drought exposure. There are many notable differences between these associations, such as the difference in correlations with total drought exposure.</w:t>
      </w:r>
    </w:p>
    <w:p w:rsidR="5E1A5F4A" w:rsidP="5E1A5F4A" w:rsidRDefault="5E1A5F4A" w14:paraId="78BF4ECC" w14:textId="19299FCB">
      <w:pPr>
        <w:spacing w:before="0" w:beforeAutospacing="off" w:after="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601A2458" w:rsidP="5E1A5F4A" w:rsidRDefault="601A2458" w14:paraId="5690387A" w14:textId="4EC1867C">
      <w:pPr>
        <w:spacing w:before="0" w:beforeAutospacing="off" w:after="0" w:afterAutospacing="off"/>
        <w:jc w:val="center"/>
      </w:pPr>
      <w:r w:rsidR="601A2458">
        <w:drawing>
          <wp:inline wp14:editId="288EFCCB" wp14:anchorId="486236B0">
            <wp:extent cx="2981325" cy="2981325"/>
            <wp:effectExtent l="9525" t="9525" r="9525" b="9525"/>
            <wp:docPr id="1900934568" name="" title=""/>
            <wp:cNvGraphicFramePr>
              <a:graphicFrameLocks noChangeAspect="1"/>
            </wp:cNvGraphicFramePr>
            <a:graphic>
              <a:graphicData uri="http://schemas.openxmlformats.org/drawingml/2006/picture">
                <pic:pic>
                  <pic:nvPicPr>
                    <pic:cNvPr id="0" name=""/>
                    <pic:cNvPicPr/>
                  </pic:nvPicPr>
                  <pic:blipFill>
                    <a:blip r:embed="R82336b6f34d845c4">
                      <a:extLst>
                        <a:ext xmlns:a="http://schemas.openxmlformats.org/drawingml/2006/main" uri="{28A0092B-C50C-407E-A947-70E740481C1C}">
                          <a14:useLocalDpi val="0"/>
                        </a:ext>
                      </a:extLst>
                    </a:blip>
                    <a:stretch>
                      <a:fillRect/>
                    </a:stretch>
                  </pic:blipFill>
                  <pic:spPr>
                    <a:xfrm>
                      <a:off x="0" y="0"/>
                      <a:ext cx="2981325" cy="2981325"/>
                    </a:xfrm>
                    <a:prstGeom prst="rect">
                      <a:avLst/>
                    </a:prstGeom>
                    <a:ln w="9525">
                      <a:solidFill>
                        <a:schemeClr val="tx1"/>
                      </a:solidFill>
                      <a:prstDash val="solid"/>
                    </a:ln>
                  </pic:spPr>
                </pic:pic>
              </a:graphicData>
            </a:graphic>
          </wp:inline>
        </w:drawing>
      </w:r>
      <w:r w:rsidR="601A2458">
        <w:drawing>
          <wp:inline wp14:editId="58A8FCA1" wp14:anchorId="693F19E8">
            <wp:extent cx="2552700" cy="2981325"/>
            <wp:effectExtent l="9525" t="9525" r="9525" b="9525"/>
            <wp:docPr id="2075707758" name="" title=""/>
            <wp:cNvGraphicFramePr>
              <a:graphicFrameLocks noChangeAspect="1"/>
            </wp:cNvGraphicFramePr>
            <a:graphic>
              <a:graphicData uri="http://schemas.openxmlformats.org/drawingml/2006/picture">
                <pic:pic>
                  <pic:nvPicPr>
                    <pic:cNvPr id="0" name=""/>
                    <pic:cNvPicPr/>
                  </pic:nvPicPr>
                  <pic:blipFill>
                    <a:blip r:embed="R2b6ac8bdcfb64913">
                      <a:extLst>
                        <a:ext xmlns:a="http://schemas.openxmlformats.org/drawingml/2006/main" uri="{28A0092B-C50C-407E-A947-70E740481C1C}">
                          <a14:useLocalDpi val="0"/>
                        </a:ext>
                      </a:extLst>
                    </a:blip>
                    <a:stretch>
                      <a:fillRect/>
                    </a:stretch>
                  </pic:blipFill>
                  <pic:spPr>
                    <a:xfrm>
                      <a:off x="0" y="0"/>
                      <a:ext cx="2552700" cy="2981325"/>
                    </a:xfrm>
                    <a:prstGeom prst="rect">
                      <a:avLst/>
                    </a:prstGeom>
                    <a:ln w="9525">
                      <a:solidFill>
                        <a:schemeClr val="tx1"/>
                      </a:solidFill>
                      <a:prstDash val="solid"/>
                    </a:ln>
                  </pic:spPr>
                </pic:pic>
              </a:graphicData>
            </a:graphic>
          </wp:inline>
        </w:drawing>
      </w:r>
    </w:p>
    <w:p w:rsidR="601A2458" w:rsidP="5E1A5F4A" w:rsidRDefault="601A2458" w14:paraId="39BBDC3D" w14:textId="0B1A9642">
      <w:pPr>
        <w:spacing w:before="0" w:beforeAutospacing="off" w:after="0" w:afterAutospacing="off"/>
        <w:jc w:val="center"/>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Table 2: Correlations between H-2A workers, MHCs with environmental exposure</w:t>
      </w:r>
    </w:p>
    <w:p w:rsidR="5E1A5F4A" w:rsidP="5E1A5F4A" w:rsidRDefault="5E1A5F4A" w14:paraId="52108AAC" w14:textId="68B9CC54">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601A2458" w:rsidP="5E1A5F4A" w:rsidRDefault="601A2458" w14:paraId="5C2B6992" w14:textId="25CBE645">
      <w:pPr>
        <w:spacing w:before="0" w:beforeAutospacing="off" w:after="0" w:afterAutospacing="off"/>
      </w:pPr>
      <w:r w:rsidRPr="5E1A5F4A" w:rsidR="601A245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Why is This Important?</w:t>
      </w:r>
    </w:p>
    <w:p w:rsidR="601A2458" w:rsidP="5E1A5F4A" w:rsidRDefault="601A2458" w14:paraId="4A5B9461" w14:textId="7AC34A1D">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analysis indicates a misalignment between the distribution of MHCs and the concentration of H-2A agricultural workers across six western states. This gap is particularly concerning in places with higher environmental risk factors, such as heat waves, wildfires, and droughts, where healthcare access is especially needed. Given the specialized healthcare needs of migrant agricultural workers, who face occupational and environmental health risks, there is a clear need to reassess and optimize the distribution of MHCs. Areas with high concentrations of H-2A workers and elevated exposure to environmental hazards should be prioritized in future planning and policymaking.</w:t>
      </w:r>
    </w:p>
    <w:p w:rsidR="601A2458" w:rsidP="5E1A5F4A" w:rsidRDefault="601A2458" w14:paraId="6CFD626C" w14:textId="501CAF68">
      <w:pPr>
        <w:spacing w:before="0" w:beforeAutospacing="off" w:after="0" w:afterAutospacing="off"/>
        <w:ind w:firstLine="720"/>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Expansion of MHCs, guided by data on worker population density and climate exposure, would improve the effectiveness and availability of care. Aligning healthcare supply with areas of greatest need will support both public health and the quality of life for the agricultural worker population and their families.</w:t>
      </w:r>
    </w:p>
    <w:p w:rsidR="5E1A5F4A" w:rsidRDefault="5E1A5F4A" w14:paraId="4B6D08F4" w14:textId="7E14FECA"/>
    <w:p w:rsidR="5E1A5F4A" w:rsidP="5E1A5F4A" w:rsidRDefault="5E1A5F4A" w14:paraId="388B6CCF" w14:textId="70163E1E">
      <w:pPr>
        <w:pStyle w:val="Normal"/>
      </w:pPr>
    </w:p>
    <w:p w:rsidR="601A2458" w:rsidP="5E1A5F4A" w:rsidRDefault="601A2458" w14:paraId="0047FF89" w14:textId="29895524">
      <w:pPr>
        <w:spacing w:before="0" w:beforeAutospacing="off" w:after="0" w:afterAutospacing="off"/>
      </w:pPr>
      <w:r w:rsidRPr="5E1A5F4A" w:rsidR="601A245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w:rsidR="601A2458" w:rsidP="5E1A5F4A" w:rsidRDefault="601A2458" w14:paraId="087631D2" w14:textId="08EC478B">
      <w:pPr>
        <w:spacing w:before="0" w:beforeAutospacing="off" w:after="0" w:afterAutospacing="off"/>
      </w:pP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“Migrant Health Centers (UDS 2023).” National Center for Farmworker Health, public.tableau.com/app/profile/</w:t>
      </w: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national.center.for.farmworker.health</w:t>
      </w:r>
      <w:r w:rsidRPr="5E1A5F4A" w:rsidR="601A24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/viz/MigrantHealthCentersUDS2023/Dashboard1.</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3220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2c43fe"/>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Symbol" w:hAnsi="Symbol"/>
      </w:rPr>
    </w:lvl>
    <w:lvl xmlns:w="http://schemas.openxmlformats.org/wordprocessingml/2006/main" w:ilvl="8">
      <w:start w:val="1"/>
      <w:numFmt w:val="bullet"/>
      <w:lvlText w:val="♦"/>
      <w:lvlJc w:val="left"/>
      <w:pPr>
        <w:ind w:left="7200" w:hanging="360"/>
      </w:pPr>
      <w:rPr>
        <w:rFonts w:hint="default" w:ascii="Courier New" w:hAnsi="Courier New"/>
      </w:rPr>
    </w:lvl>
  </w:abstractNum>
  <w:abstractNum xmlns:w="http://schemas.openxmlformats.org/wordprocessingml/2006/main" w:abstractNumId="1">
    <w:nsid w:val="2926e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8E229E"/>
    <w:rsid w:val="318E229E"/>
    <w:rsid w:val="3295B2DA"/>
    <w:rsid w:val="4386FBA1"/>
    <w:rsid w:val="438F57F8"/>
    <w:rsid w:val="5E1A5F4A"/>
    <w:rsid w:val="5EFA9DC0"/>
    <w:rsid w:val="601A2458"/>
    <w:rsid w:val="65238852"/>
    <w:rsid w:val="78A22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E229E"/>
  <w15:chartTrackingRefBased/>
  <w15:docId w15:val="{E69EB9A6-439F-44E6-9F6A-44E09AAE45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E1A5F4A"/>
    <w:rPr>
      <w:color w:val="467886"/>
      <w:u w:val="single"/>
    </w:rPr>
  </w:style>
  <w:style w:type="paragraph" w:styleId="ListParagraph">
    <w:uiPriority w:val="34"/>
    <w:name w:val="List Paragraph"/>
    <w:basedOn w:val="Normal"/>
    <w:qFormat/>
    <w:rsid w:val="5E1A5F4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suredi.org/" TargetMode="External" Id="R4d74e6fad1c64721" /><Relationship Type="http://schemas.openxmlformats.org/officeDocument/2006/relationships/image" Target="/media/image.png" Id="R099520764f8d4bc8" /><Relationship Type="http://schemas.openxmlformats.org/officeDocument/2006/relationships/image" Target="/media/image2.png" Id="Red87598914694f0a" /><Relationship Type="http://schemas.openxmlformats.org/officeDocument/2006/relationships/image" Target="/media/image3.png" Id="R957147ef35ad4228" /><Relationship Type="http://schemas.openxmlformats.org/officeDocument/2006/relationships/image" Target="/media/image4.png" Id="R82336b6f34d845c4" /><Relationship Type="http://schemas.openxmlformats.org/officeDocument/2006/relationships/image" Target="/media/image5.png" Id="R2b6ac8bdcfb64913" /><Relationship Type="http://schemas.openxmlformats.org/officeDocument/2006/relationships/numbering" Target="numbering.xml" Id="R92a4aadc8e744e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2025-04-23T21:28:28.1715628Z</dcterms:created>
  <dcterms:modified xsi:type="dcterms:W3CDTF">2025-04-23T21:34:56.9245739Z</dcterms:modified>
  <dc:creator>Nathan S</dc:creator>
  <lastModifiedBy>Nathan S</lastModifiedBy>
</coreProperties>
</file>