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Báo cáo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ATL-03</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/bao-cao  ·  /bao-cao?name=&lt;slug&gt;</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Trung tâm báo cáo gồm 21 báo cáo chia 8 nhóm. /bao-cao là trang tổng hợp: ô tìm báo cáo và mỗi nhóm một khung — báo cáo sẵn sàng là dòng bấm được kèm mô tả một câu, báo cáo sắp có xếp cuối nhóm. Mở một báo cáo thì hiện khung gọn </w:t>
      </w:r>
      <w:r>
        <w:rPr>
          <w:rFonts w:ascii="Arial" w:cs="Arial" w:eastAsia="Arial" w:hAnsi="Arial"/>
          <w:b/>
          <w:bCs/>
          <w:sz w:val="21"/>
          <w:szCs w:val="21"/>
        </w:rPr>
        <w:t xml:space="preserve">bốn tầng</w:t>
      </w:r>
      <w:r>
        <w:rPr>
          <w:rFonts w:ascii="Arial" w:cs="Arial" w:eastAsia="Arial" w:hAnsi="Arial"/>
          <w:sz w:val="21"/>
          <w:szCs w:val="21"/>
        </w:rPr>
        <w:t xml:space="preserve">: tiêu đề + câu mô tả → hàng tab các báo cáo cùng nhóm → một hàng công cụ (cách nhóm, kỳ, tìm, Xuất Excel) → KPI, biểu đồ, bảng; phần "Cách tính số liệu" gập lại ở cuối. </w:t>
      </w:r>
      <w:r>
        <w:rPr>
          <w:rFonts w:ascii="Arial" w:cs="Arial" w:eastAsia="Arial" w:hAnsi="Arial"/>
          <w:b/>
          <w:bCs/>
          <w:sz w:val="21"/>
          <w:szCs w:val="21"/>
        </w:rPr>
        <w:t xml:space="preserve">19 báo cáo đã chạy</w:t>
      </w:r>
      <w:r>
        <w:rPr>
          <w:rFonts w:ascii="Arial" w:cs="Arial" w:eastAsia="Arial" w:hAnsi="Arial"/>
          <w:sz w:val="21"/>
          <w:szCs w:val="21"/>
        </w:rPr>
        <w:t xml:space="preserve">; 2 báo cáo hiện nhãn "Sắp có".</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CEO / Quản lý: toàn bộ.</w:t>
      </w:r>
    </w:p>
    <w:p>
      <w:pPr>
        <w:pStyle w:val="ListParagraph"/>
        <w:numPr>
          <w:ilvl w:val="0"/>
          <w:numId w:val="2"/>
        </w:numPr>
        <w:spacing w:after="60" w:line="290"/>
      </w:pPr>
      <w:r>
        <w:rPr>
          <w:rFonts w:ascii="Arial" w:cs="Arial" w:eastAsia="Arial" w:hAnsi="Arial"/>
          <w:sz w:val="21"/>
          <w:szCs w:val="21"/>
        </w:rPr>
        <w:t xml:space="preserve">Kế toán: báo cáo tài chính, công nợ, thu chi.</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Theo nhóm báo cáo: report.sales (Bán hàng), report.view_profit (Lợi nhuận), report.stock (Kho), report.purchase (Mua hàng), report.production (Sản xuất), report.delivery (Giao hàng), debt.view (Công nợ), report.cashflow (Dòng tiền). Trang tổng hợp chỉ hiện nhóm chức vụ được xem; máy chủ cũng chặn khi mở thẳng địa chỉ.</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trang Báo cáo, tìm hoặc chọn báo cáo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cách nhóm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kỳ</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Xem KPI, biểu đồ, bảng</w:t>
            </w:r>
          </w:p>
        </w:tc>
      </w:tr>
    </w:tbl>
    <w:p>
      <w:pPr>
        <w:spacing w:after="40" w:before="40" w:line="300"/>
        <w:jc w:val="center"/>
      </w:pPr>
      <w:r>
        <w:rPr>
          <w:rFonts w:ascii="Arial" w:cs="Arial" w:eastAsia="Arial" w:hAnsi="Arial"/>
          <w:color w:val="7F7F7F"/>
          <w:sz w:val="17"/>
          <w:szCs w:val="17"/>
        </w:rPr>
        <w:t xml:space="preserve">↓ tiếp theo</w:t>
      </w:r>
    </w:p>
    <w:tbl>
      <w:tblPr>
        <w:tblW w:type="dxa" w:w="4612"/>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Sắp xếp / tìm trong bảng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Xuất Excel</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Báo cáo từ menu trái (hoặc từ Tổng quan bấm vào ô tương ứng).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 trang tổng hợp. Ô Rò rỉ tiền ở Tổng quan → mở thẳng đúng báo cáo (?name=); Khách ngừng mua mở sẵn kỳ 60 ngày qua để khớp con số trên Tổng quan. Tên báo cáo không hợp lệ thì về trang tổng hợp.</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Gõ vào ô "Tìm báo cáo…" hoặc bấm một dòng báo cáo. Đang ở một báo cáo thì bấm tab để sang báo cáo khác cùng nhóm.</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không phân biệt dấu trên tên và mô tả; báo cáo "Sắp có" mở trang giới thiệu, chưa có số liệu.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cách nhóm (ví dụ Theo khách hàng / mặt hàng / nhân viên / nhóm hàng / đơn hàng, tuỳ báo cáo). Thẻ kho thay ô này bằng ô chọn mặt hàng.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và biểu đồ gộp lại theo cách nhóm.</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kỳ, hoặc nhập khoảng ngày. Mặc định "Tháng này" (Giá mua biến động: "Năm nay"), ngày cuối không vượt quá hôm nay.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Tính lại KPI; báo cáo Doanh thu còn so với kỳ trước cùng độ dài. Báo cáo hiện trạng (Tồn kho, Dưới tồn tối thiểu, Hàng không phát sinh lâu ngày) không có ô kỳ — tính tại thời điểm xem. Dòng "Số liệu từ … đến …" dưới hàng công cụ nói đúng khoảng đang tính.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tiêu đề cột để sắp xếp (giảm dần → tăng dần → bỏ sắp xếp); gõ vào ô tìm để lọc dòng; bấm tên khách / hàng / đơn để mở trang chi tiết.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TỔNG CỘNG cộng lại đúng theo các dòng đang hiện khi có tìm kiếm.</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"Hiện thêm 100 dòng" khi danh sách dài.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hiện 100 dòng mỗi lần; phần đếm "x / y dòng" ở chân bảng.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Excel.</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Tải file theo đúng bảng đang xem (kể cả tìm kiếm và dòng tổng); số được định dạng số, không phải chữ. Doanh thu xuất thêm sheet Sổ chi tiết bán hàng.</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tổng hợp</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tìm báo cáo; 8 nhóm, mỗi nhóm một khung có biểu tượng và mô tả nhóm; báo cáo sẵn sàng là dòng bấm được (tên + một câu mô tả), báo cáo sắp có xếp cuối nhóm với nhãn "Sắp có". Chỉ hiện nhóm chức vụ được xem. Tìm không ra: "Không tìm thấy báo cáo" + nút Xoá tìm kiếm.</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Khung báo cáo</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Đường dẫn Báo cáo › Nhóm; tên báo cáo và một câu nói báo cáo trả lời điều gì; dưới đó là </w:t>
            </w:r>
            <w:r>
              <w:rPr>
                <w:rFonts w:ascii="Arial" w:cs="Arial" w:eastAsia="Arial" w:hAnsi="Arial"/>
                <w:b/>
                <w:bCs/>
                <w:sz w:val="19"/>
                <w:szCs w:val="19"/>
              </w:rPr>
              <w:t xml:space="preserve">hàng tab các báo cáo cùng nhóm</w:t>
            </w:r>
            <w:r>
              <w:rPr>
                <w:rFonts w:ascii="Arial" w:cs="Arial" w:eastAsia="Arial" w:hAnsi="Arial"/>
                <w:sz w:val="19"/>
                <w:szCs w:val="19"/>
              </w:rPr>
              <w:t xml:space="preserve"> (cuộn ngang trên điện thoại, tab đang mở tự cuộn vào giữa). Không có danh sách báo cáo thứ hai bên trái — menu trái của hệ thống đã là menu chính.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công cụ</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Một hàng: cách nhóm (hoặc ô chọn mặt hàng ở Thẻ kho), chọn kỳ + hai ô ngày, ô tìm trong báo cáo, nút Xuất Excel ở cuối hàng; bên dưới là dòng "Số liệu từ … đến …".</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Dải KPI</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3–4 ô số liệu tổng (màu xanh/đỏ theo tốt/xấu), có dòng phụ giải thích; dưới 480 px xếp một cột.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Biểu đồ</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Top 10 dạng thanh ngang của cột chính (lãi âm / lỗ hiện thanh đỏ). Doanh thu theo thời gian: cột theo ngày/tuần/tháng.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Tiêu đề cố định, sắp xếp được; số căn phải, không xuống dòng; cột tiền âm màu đỏ, dương màu xanh khi cột là lãi/chênh lệch; cột giá mua đảo màu (tăng đỏ, giảm xanh); dòng TỔNG CỘNG ở chân; cuộn ngang trong khung trên điện thoại.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Cách tính số liệu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Mục gập ở cuối báo cáo, bấm để mở: định nghĩa số liệu, giả định và giới hạn của báo cáo đó.</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 liên kết (Số dư công nợ, Tuổi nợ)</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lặp lại bảng: hiện mô tả và nút dẫn tới trang Công nợ phải thu / phải trả hoặc Tuổi nợ đã có.</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Doanh thu = số khách thực nhận</w:t>
      </w:r>
      <w:r>
        <w:rPr>
          <w:rFonts w:ascii="Arial" w:cs="Arial" w:eastAsia="Arial" w:hAnsi="Arial"/>
          <w:sz w:val="21"/>
          <w:szCs w:val="21"/>
        </w:rPr>
        <w:t xml:space="preserve">, đúng bằng số đã vào công nợ phải thu, ghi vào ngày giao. Đơn huỷ và đơn chưa giao không tính.</w:t>
      </w:r>
    </w:p>
    <w:p>
      <w:pPr>
        <w:pStyle w:val="ListParagraph"/>
        <w:numPr>
          <w:ilvl w:val="0"/>
          <w:numId w:val="3"/>
        </w:numPr>
        <w:spacing w:after="70" w:line="290"/>
      </w:pPr>
      <w:r>
        <w:rPr>
          <w:rFonts w:ascii="Arial" w:cs="Arial" w:eastAsia="Arial" w:hAnsi="Arial"/>
          <w:sz w:val="21"/>
          <w:szCs w:val="21"/>
        </w:rPr>
        <w:t xml:space="preserve">Chiết khấu của đơn phân bổ về từng dòng theo tỷ lệ giá trị. Doanh thu thuần = tiền hàng − chiết khấu; tổng thanh toán = doanh thu thuần + thuế GTGT.</w:t>
      </w:r>
    </w:p>
    <w:p>
      <w:pPr>
        <w:pStyle w:val="ListParagraph"/>
        <w:numPr>
          <w:ilvl w:val="0"/>
          <w:numId w:val="3"/>
        </w:numPr>
        <w:spacing w:after="70" w:line="290"/>
      </w:pPr>
      <w:r>
        <w:rPr>
          <w:rFonts w:ascii="Arial" w:cs="Arial" w:eastAsia="Arial" w:hAnsi="Arial"/>
          <w:sz w:val="21"/>
          <w:szCs w:val="21"/>
        </w:rPr>
        <w:t xml:space="preserve">Các báo cáo cùng nguồn phải khớp nhau: Doanh thu, Chiết khấu và Lãi gộp toàn bộ lịch sử cùng dựa trên các dòng doanh thu của đơn đã giao; Sổ quỹ khớp Thu chi.</w:t>
      </w:r>
    </w:p>
    <w:p>
      <w:pPr>
        <w:pStyle w:val="ListParagraph"/>
        <w:numPr>
          <w:ilvl w:val="0"/>
          <w:numId w:val="3"/>
        </w:numPr>
        <w:spacing w:after="70" w:line="290"/>
      </w:pPr>
      <w:r>
        <w:rPr>
          <w:rFonts w:ascii="Arial" w:cs="Arial" w:eastAsia="Arial" w:hAnsi="Arial"/>
          <w:sz w:val="21"/>
          <w:szCs w:val="21"/>
        </w:rPr>
        <w:t xml:space="preserve">Kỳ mặc định là Tháng này (Giá mua biến động: Năm nay — giá cần nhiều lần nhập mới so được); ngày cuối luôn không vượt quá hôm nay; "Toàn bộ" = từ đầu đến hôm nay.</w:t>
      </w:r>
    </w:p>
    <w:p>
      <w:pPr>
        <w:pStyle w:val="ListParagraph"/>
        <w:numPr>
          <w:ilvl w:val="0"/>
          <w:numId w:val="3"/>
        </w:numPr>
        <w:spacing w:after="70" w:line="290"/>
      </w:pPr>
      <w:r>
        <w:rPr>
          <w:rFonts w:ascii="Arial" w:cs="Arial" w:eastAsia="Arial" w:hAnsi="Arial"/>
          <w:sz w:val="21"/>
          <w:szCs w:val="21"/>
        </w:rPr>
        <w:t xml:space="preserve">Giá vốn trong Lãi gộp và Hàng bán dưới giá vốn là </w:t>
      </w:r>
      <w:r>
        <w:rPr>
          <w:rFonts w:ascii="Arial" w:cs="Arial" w:eastAsia="Arial" w:hAnsi="Arial"/>
          <w:b/>
          <w:bCs/>
          <w:sz w:val="21"/>
          <w:szCs w:val="21"/>
        </w:rPr>
        <w:t xml:space="preserve">ước tính</w:t>
      </w:r>
      <w:r>
        <w:rPr>
          <w:rFonts w:ascii="Arial" w:cs="Arial" w:eastAsia="Arial" w:hAnsi="Arial"/>
          <w:sz w:val="21"/>
          <w:szCs w:val="21"/>
        </w:rPr>
        <w:t xml:space="preserve"> theo giá vốn hiện tại — chưa phải giá vốn chốt tại ngày giao.</w:t>
      </w:r>
    </w:p>
    <w:p>
      <w:pPr>
        <w:pStyle w:val="ListParagraph"/>
        <w:numPr>
          <w:ilvl w:val="0"/>
          <w:numId w:val="3"/>
        </w:numPr>
        <w:spacing w:after="70" w:line="290"/>
      </w:pPr>
      <w:r>
        <w:rPr>
          <w:rFonts w:ascii="Arial" w:cs="Arial" w:eastAsia="Arial" w:hAnsi="Arial"/>
          <w:sz w:val="21"/>
          <w:szCs w:val="21"/>
        </w:rPr>
        <w:t xml:space="preserve">Khi tìm kiếm trong bảng, dòng TỔNG CỘNG tính lại theo các dòng đang hiện; Xuất Excel xuất đúng các dòng đang hiện.</w:t>
      </w:r>
    </w:p>
    <w:p>
      <w:pPr>
        <w:pStyle w:val="ListParagraph"/>
        <w:numPr>
          <w:ilvl w:val="0"/>
          <w:numId w:val="3"/>
        </w:numPr>
        <w:spacing w:after="70" w:line="290"/>
      </w:pPr>
      <w:r>
        <w:rPr>
          <w:rFonts w:ascii="Arial" w:cs="Arial" w:eastAsia="Arial" w:hAnsi="Arial"/>
          <w:sz w:val="21"/>
          <w:szCs w:val="21"/>
        </w:rPr>
        <w:t xml:space="preserve">Đơn vị thời gian của Doanh thu tự động: tới 31 ngày theo ngày; tới 120 ngày theo tuần (tuần bắt đầu thứ Hai); dài hơn theo tháng. Kỳ so sánh bị ẩn khi chọn "Toàn bộ".</w:t>
      </w:r>
    </w:p>
    <w:p>
      <w:pPr>
        <w:pStyle w:val="ListParagraph"/>
        <w:numPr>
          <w:ilvl w:val="0"/>
          <w:numId w:val="3"/>
        </w:numPr>
        <w:spacing w:after="70" w:line="290"/>
      </w:pPr>
      <w:r>
        <w:rPr>
          <w:rFonts w:ascii="Arial" w:cs="Arial" w:eastAsia="Arial" w:hAnsi="Arial"/>
          <w:sz w:val="21"/>
          <w:szCs w:val="21"/>
        </w:rPr>
        <w:t xml:space="preserve">Địa chỉ báo cáo dùng slug của hệ thống tham chiếu (?name=slug), không dùng tên hiển thị.</w:t>
      </w:r>
    </w:p>
    <w:p>
      <w:pPr>
        <w:pStyle w:val="ListParagraph"/>
        <w:numPr>
          <w:ilvl w:val="0"/>
          <w:numId w:val="3"/>
        </w:numPr>
        <w:spacing w:after="70" w:line="290"/>
      </w:pPr>
      <w:r>
        <w:rPr>
          <w:rFonts w:ascii="Arial" w:cs="Arial" w:eastAsia="Arial" w:hAnsi="Arial"/>
          <w:sz w:val="21"/>
          <w:szCs w:val="21"/>
        </w:rPr>
        <w:t xml:space="preserve">Thẻ kho mở thẳng được một mặt hàng bằng ?name=the-kho&amp;sp=&lt;mã nội bộ của mặt hàng&gt;; trang Hàng hoá có liên kết "Xem thẻ kho".</w:t>
      </w:r>
    </w:p>
    <w:p>
      <w:pPr>
        <w:pStyle w:val="Heading1"/>
        <w:keepNext/>
        <w:spacing w:after="120" w:before="320"/>
      </w:pPr>
      <w:r>
        <w:rPr>
          <w:rFonts w:ascii="Arial" w:cs="Arial" w:eastAsia="Arial" w:hAnsi="Arial"/>
          <w:b/>
          <w:bCs/>
          <w:color w:val="1F3864"/>
          <w:sz w:val="28"/>
          <w:szCs w:val="28"/>
        </w:rPr>
        <w:t xml:space="preserve">5.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chi tiết dẫn tới từng đơn; nguồn số liệu là số thực nhận.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 (ATL-02)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Rò rỉ tiền mở thẳng báo cáo liên quan.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(ATL-10, ATL-15, ATL-19)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dư công nợ và Tuổi nợ dẫn sang các trang Công nợ phải trả / phải thu / Tuổi nợ.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(ATL-04)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Tab Lịch sử của mặt hàng có liên kết mở Thẻ kho của chính mặt hàng đó.</w:t>
            </w:r>
          </w:p>
        </w:tc>
      </w:tr>
    </w:tbl>
    <w:p>
      <w:pPr>
        <w:pStyle w:val="Heading1"/>
        <w:keepNext/>
        <w:spacing w:after="120" w:before="320"/>
      </w:pPr>
      <w:r>
        <w:rPr>
          <w:rFonts w:ascii="Arial" w:cs="Arial" w:eastAsia="Arial" w:hAnsi="Arial"/>
          <w:b/>
          <w:bCs/>
          <w:color w:val="1F3864"/>
          <w:sz w:val="28"/>
          <w:szCs w:val="28"/>
        </w:rPr>
        <w:t xml:space="preserve">6.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Kỳ không có số liệu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"Không có số liệu" kèm gợi ý riêng của báo cáo (ví dụ "Chưa có hàng giao trong kỳ này").</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báo cáo "Sắp có"</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trang giới thiệu báo cáo, số báo cáo đã có và nút Xem các báo cáo đã có.</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kho chưa chọn mặt hàng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"Chọn một mặt hàng" thay cho bảng số liệu.</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báo cáo không ra</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tổng hợp hiện "Không tìm thấy báo cáo" và nút Xoá tìm kiếm.</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trong bảng không ra dòng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"Không có dòng nào khớp…" trong bảng.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báo cáo trên địa chỉ không đúng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Về trang tổng hợp.</w:t>
            </w:r>
          </w:p>
        </w:tc>
      </w:tr>
    </w:tbl>
    <w:p>
      <w:pPr>
        <w:pStyle w:val="Heading1"/>
        <w:keepNext/>
        <w:spacing w:after="120" w:before="320"/>
      </w:pPr>
      <w:r>
        <w:rPr>
          <w:rFonts w:ascii="Arial" w:cs="Arial" w:eastAsia="Arial" w:hAnsi="Arial"/>
          <w:b/>
          <w:bCs/>
          <w:color w:val="1F3864"/>
          <w:sz w:val="28"/>
          <w:szCs w:val="28"/>
        </w:rPr>
        <w:t xml:space="preserve">7. Danh mục 21 báo cáo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3401"/>
        <w:gridCol w:w="2456"/>
        <w:gridCol w:w="2459"/>
      </w:tblGrid>
      <w:tr>
        <w:trPr>
          <w:cantSplit/>
          <w:tblHeader/>
        </w:trPr>
        <w:tc>
          <w:tcPr>
            <w:tcW w:type="dxa" w:w="13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Nhóm</w:t>
            </w:r>
          </w:p>
        </w:tc>
        <w:tc>
          <w:tcPr>
            <w:tcW w:type="dxa" w:w="340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Báo cáo</w:t>
            </w:r>
          </w:p>
        </w:tc>
        <w:tc>
          <w:tcPr>
            <w:tcW w:type="dxa" w:w="245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Slug (?name=)</w:t>
            </w:r>
          </w:p>
        </w:tc>
        <w:tc>
          <w:tcPr>
            <w:tcW w:type="dxa" w:w="24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trạng</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Doanh thu</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ban-hang</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Chiết khấu đã cấp</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chiet-khau</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ngừng mua</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khach-ngung-mua</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Lợi nhuận</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Lãi gộp</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loi-nhuan</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 (giá vốn ước tính)</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Lợi nhuận</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bán dưới giá vốn</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ban-duoi-gia-von</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xuất tồn</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nhap-xuat-ton</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không phát sinh lâu ngày</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hang-nam-im</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hiện tại</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ton-kho</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dưới tồn tối thiểu</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duoi-ton-toi-thieu</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kho</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the-kho</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Vòng quay tồn kho</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vong-quay-ton-kho</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hàng</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mua-hang</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mua biến động</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gia-mua</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Sản xuất</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Sản xuất</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san-xuat</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giao-hang</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Sắp có</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phí xe</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chi-phi-xe</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quả theo tài xế</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tai-xe</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Sắp có</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dư công nợ</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Liên kết tới Công nợ phải thu / phải trả</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tuoi-no</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Liên kết tới Tuổi nợ</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Sổ quỹ</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so-quy</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r>
        <w:trPr>
          <w:cantSplit/>
        </w:trPr>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chi</w:t>
            </w:r>
          </w:p>
        </w:tc>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Chạy</w:t>
            </w:r>
          </w:p>
        </w:tc>
      </w:tr>
    </w:tbl>
    <w:p>
      <w:pPr>
        <w:pStyle w:val="Heading1"/>
        <w:keepNext/>
        <w:spacing w:after="120" w:before="320"/>
      </w:pPr>
      <w:r>
        <w:rPr>
          <w:rFonts w:ascii="Arial" w:cs="Arial" w:eastAsia="Arial" w:hAnsi="Arial"/>
          <w:b/>
          <w:bCs/>
          <w:color w:val="1F3864"/>
          <w:sz w:val="28"/>
          <w:szCs w:val="28"/>
        </w:rPr>
        <w:t xml:space="preserve">8. Định nghĩa các báo cáo</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Doanh thu:</w:t>
      </w:r>
      <w:r>
        <w:rPr>
          <w:rFonts w:ascii="Arial" w:cs="Arial" w:eastAsia="Arial" w:hAnsi="Arial"/>
          <w:sz w:val="21"/>
          <w:szCs w:val="21"/>
        </w:rPr>
        <w:t xml:space="preserve"> số khách thực nhận, ghi vào ngày giao; so với kỳ trước cùng độ dài.</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Chiết khấu đã cấp:</w:t>
      </w:r>
      <w:r>
        <w:rPr>
          <w:rFonts w:ascii="Arial" w:cs="Arial" w:eastAsia="Arial" w:hAnsi="Arial"/>
          <w:sz w:val="21"/>
          <w:szCs w:val="21"/>
        </w:rPr>
        <w:t xml:space="preserve"> chiết khấu dòng + chiết khấu đơn đã phân bổ về từng dòng; nhóm theo khách, mặt hàng, nhân viên hoặc đơn; kèm tỷ lệ trên tiền hàng.</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Khách ngừng mua:</w:t>
      </w:r>
      <w:r>
        <w:rPr>
          <w:rFonts w:ascii="Arial" w:cs="Arial" w:eastAsia="Arial" w:hAnsi="Arial"/>
          <w:sz w:val="21"/>
          <w:szCs w:val="21"/>
        </w:rPr>
        <w:t xml:space="preserve"> khách từng nhận hàng trước ngày bắt đầu kỳ nhưng trong kỳ không nhận hàng lần nào (đơn chưa giao không tính); khách đã ngừng theo dõi không hiện; xếp theo doanh thu cũ giảm dần; "số ngày chưa mua" tính tới cuối kỳ.</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Lãi gộp:</w:t>
      </w:r>
      <w:r>
        <w:rPr>
          <w:rFonts w:ascii="Arial" w:cs="Arial" w:eastAsia="Arial" w:hAnsi="Arial"/>
          <w:sz w:val="21"/>
          <w:szCs w:val="21"/>
        </w:rPr>
        <w:t xml:space="preserve"> doanh thu thuần trừ giá vốn </w:t>
      </w:r>
      <w:r>
        <w:rPr>
          <w:rFonts w:ascii="Arial" w:cs="Arial" w:eastAsia="Arial" w:hAnsi="Arial"/>
          <w:b/>
          <w:bCs/>
          <w:sz w:val="21"/>
          <w:szCs w:val="21"/>
        </w:rPr>
        <w:t xml:space="preserve">ước tính</w:t>
      </w:r>
      <w:r>
        <w:rPr>
          <w:rFonts w:ascii="Arial" w:cs="Arial" w:eastAsia="Arial" w:hAnsi="Arial"/>
          <w:sz w:val="21"/>
          <w:szCs w:val="21"/>
        </w:rPr>
        <w:t xml:space="preserve"> (giá vốn hiện tại của mặt hàng × số lượng thực nhận); cột cuối đếm dòng có giá vốn 0 — các dòng đó làm lãi gộp bị thổi lên. Nhóm theo mặt hàng, khách hàng hoặc nhóm hàng.</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Hàng bán dưới giá vốn:</w:t>
      </w:r>
      <w:r>
        <w:rPr>
          <w:rFonts w:ascii="Arial" w:cs="Arial" w:eastAsia="Arial" w:hAnsi="Arial"/>
          <w:sz w:val="21"/>
          <w:szCs w:val="21"/>
        </w:rPr>
        <w:t xml:space="preserve"> doanh thu đã trừ chiết khấu phân bổ về dòng so với giá vốn ước tính; xếp theo mức lỗ giảm dần.</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Nhập xuất tồn:</w:t>
      </w:r>
      <w:r>
        <w:rPr>
          <w:rFonts w:ascii="Arial" w:cs="Arial" w:eastAsia="Arial" w:hAnsi="Arial"/>
          <w:sz w:val="21"/>
          <w:szCs w:val="21"/>
        </w:rPr>
        <w:t xml:space="preserve"> tồn đầu, nhập, xuất, tồn cuối theo ĐVT chính; tồn đầu và cuối suy ra từ tồn hiện tại và các chứng từ phát sinh sau; chuyển kho không làm đổi tổng; kiểm kê cộng phần chênh.</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Tồn kho hiện tại / Dưới tồn tối thiểu:</w:t>
      </w:r>
      <w:r>
        <w:rPr>
          <w:rFonts w:ascii="Arial" w:cs="Arial" w:eastAsia="Arial" w:hAnsi="Arial"/>
          <w:sz w:val="21"/>
          <w:szCs w:val="21"/>
        </w:rPr>
        <w:t xml:space="preserve"> báo cáo hiện trạng, không có ô ngày; nhóm theo mặt hàng hoặc kho; hàng đã lên xe còn nằm ở Đang đi đường vẫn tính vào giá trị tồn.</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Nhập hàng:</w:t>
      </w:r>
      <w:r>
        <w:rPr>
          <w:rFonts w:ascii="Arial" w:cs="Arial" w:eastAsia="Arial" w:hAnsi="Arial"/>
          <w:sz w:val="21"/>
          <w:szCs w:val="21"/>
        </w:rPr>
        <w:t xml:space="preserve"> tính trên phiếu nhập kho lập từ đơn nhập, đúng thời điểm hàng về; giá trị = số lượng × đơn giá trên phiếu (chưa thuế GTGT), phiếu chưa ghi giá lấy giá của đơn nhập; phiếu huỷ không tính.</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Sản xuất:</w:t>
      </w:r>
      <w:r>
        <w:rPr>
          <w:rFonts w:ascii="Arial" w:cs="Arial" w:eastAsia="Arial" w:hAnsi="Arial"/>
          <w:sz w:val="21"/>
          <w:szCs w:val="21"/>
        </w:rPr>
        <w:t xml:space="preserve"> chỉ lệnh đã Hoàn tất, theo ngày hoàn tất; giá thành chia cho số thực nhập kho nên hàng hỏng làm tăng giá thành đơn vị.</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Chi phí xe:</w:t>
      </w:r>
      <w:r>
        <w:rPr>
          <w:rFonts w:ascii="Arial" w:cs="Arial" w:eastAsia="Arial" w:hAnsi="Arial"/>
          <w:sz w:val="21"/>
          <w:szCs w:val="21"/>
        </w:rPr>
        <w:t xml:space="preserve"> theo chi phí ghi trên chuyến giao (không phải sổ quỹ), bỏ chuyến huỷ; nhóm theo xe hoặc tài xế.</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Số dư công nợ / Tuổi nợ:</w:t>
      </w:r>
      <w:r>
        <w:rPr>
          <w:rFonts w:ascii="Arial" w:cs="Arial" w:eastAsia="Arial" w:hAnsi="Arial"/>
          <w:sz w:val="21"/>
          <w:szCs w:val="21"/>
        </w:rPr>
        <w:t xml:space="preserve"> toàn bộ lịch sử, không phụ thuộc kỳ; đối tác đã tất toán không hiện (xem trang Công nợ).</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Sổ quỹ:</w:t>
      </w:r>
      <w:r>
        <w:rPr>
          <w:rFonts w:ascii="Arial" w:cs="Arial" w:eastAsia="Arial" w:hAnsi="Arial"/>
          <w:sz w:val="21"/>
          <w:szCs w:val="21"/>
        </w:rPr>
        <w:t xml:space="preserve"> từng tài khoản tiền: tồn đầu kỳ, thu, chi, tồn cuối kỳ; </w:t>
      </w:r>
      <w:r>
        <w:rPr>
          <w:rFonts w:ascii="Arial" w:cs="Arial" w:eastAsia="Arial" w:hAnsi="Arial"/>
          <w:b/>
          <w:bCs/>
          <w:sz w:val="21"/>
          <w:szCs w:val="21"/>
        </w:rPr>
        <w:t xml:space="preserve">Thu chi:</w:t>
      </w:r>
      <w:r>
        <w:rPr>
          <w:rFonts w:ascii="Arial" w:cs="Arial" w:eastAsia="Arial" w:hAnsi="Arial"/>
          <w:sz w:val="21"/>
          <w:szCs w:val="21"/>
        </w:rPr>
        <w:t xml:space="preserve"> thu, chi, ròng (thu − chi) theo nhóm thu chi, tài khoản hoặc đối tác; phiếu huỷ không tính.</w:t>
      </w:r>
    </w:p>
    <w:p>
      <w:pPr>
        <w:pStyle w:val="ListParagraph"/>
        <w:numPr>
          <w:ilvl w:val="0"/>
          <w:numId w:val="2"/>
        </w:numPr>
        <w:spacing w:after="60" w:line="290"/>
      </w:pPr>
      <w:r>
        <w:rPr>
          <w:rFonts w:ascii="Arial" w:cs="Arial" w:eastAsia="Arial" w:hAnsi="Arial"/>
          <w:b/>
          <w:bCs/>
          <w:sz w:val="21"/>
          <w:szCs w:val="21"/>
        </w:rPr>
        <w:t xml:space="preserve">Hàng không phát sinh lâu ngày:</w:t>
      </w:r>
      <w:r>
        <w:rPr>
          <w:rFonts w:ascii="Arial" w:cs="Arial" w:eastAsia="Arial" w:hAnsi="Arial"/>
          <w:sz w:val="21"/>
          <w:szCs w:val="21"/>
        </w:rPr>
        <w:t xml:space="preserve"> mặt hàng còn tồn dương (không gồm dịch vụ) mà từ chứng từ kho gần nhất (nhập, xuất hoặc kiểm kê) đến hôm nay đã qua ít nhất 60 / 90 / 180 / 365 ngày (chọn ở ô cách nhóm); chuyển kho không tính là phát sinh; mặt hàng chưa từng có chứng từ đứng đầu; giá trị tồn = tồn × giá vốn ước tính. Báo cáo hiện trạng, không có ô kỳ.</w:t>
      </w:r>
    </w:p>
    <w:p>
      <w:pPr>
        <w:pStyle w:val="ListParagraph"/>
        <w:numPr>
          <w:ilvl w:val="0"/>
          <w:numId w:val="2"/>
        </w:numPr>
        <w:spacing w:after="60" w:line="290"/>
      </w:pPr>
      <w:r>
        <w:rPr>
          <w:rFonts w:ascii="Arial" w:cs="Arial" w:eastAsia="Arial" w:hAnsi="Arial"/>
          <w:b/>
          <w:bCs/>
          <w:sz w:val="21"/>
          <w:szCs w:val="21"/>
        </w:rPr>
        <w:t xml:space="preserve">Thẻ kho:</w:t>
      </w:r>
      <w:r>
        <w:rPr>
          <w:rFonts w:ascii="Arial" w:cs="Arial" w:eastAsia="Arial" w:hAnsi="Arial"/>
          <w:sz w:val="21"/>
          <w:szCs w:val="21"/>
        </w:rPr>
        <w:t xml:space="preserve"> sổ nhập xuất của một mặt hàng theo từng chứng từ trong kỳ, cộng mọi kho, quy về ĐVT chính: tồn đầu kỳ, từng dòng Nhập / Xuất, tồn sau mỗi chứng từ, tồn cuối kỳ. Chuyển kho không đổi tổng nên không hiện; kiểm kê thừa ghi Nhập, thiếu ghi Xuất; phiếu huỷ không tính.</w:t>
      </w:r>
    </w:p>
    <w:p>
      <w:pPr>
        <w:pStyle w:val="ListParagraph"/>
        <w:numPr>
          <w:ilvl w:val="0"/>
          <w:numId w:val="2"/>
        </w:numPr>
        <w:spacing w:after="60" w:line="290"/>
      </w:pPr>
      <w:r>
        <w:rPr>
          <w:rFonts w:ascii="Arial" w:cs="Arial" w:eastAsia="Arial" w:hAnsi="Arial"/>
          <w:b/>
          <w:bCs/>
          <w:sz w:val="21"/>
          <w:szCs w:val="21"/>
        </w:rPr>
        <w:t xml:space="preserve">Vòng quay tồn kho:</w:t>
      </w:r>
      <w:r>
        <w:rPr>
          <w:rFonts w:ascii="Arial" w:cs="Arial" w:eastAsia="Arial" w:hAnsi="Arial"/>
          <w:sz w:val="21"/>
          <w:szCs w:val="21"/>
        </w:rPr>
        <w:t xml:space="preserve"> xuất trong kỳ (giao khách và xuất vật tư cho sản xuất), xuất / ngày, số ngày tồn = tồn cuối kỳ ÷ xuất / ngày, vòng quay = xuất ÷ tồn bình quân đầu – cuối kỳ; mặt hàng không xuất hiện "—"; mặt hàng quay chậm nhất lên đầu; KPI số ngày tồn toàn kho tính theo giá trị (giá vốn ước tính).</w:t>
      </w:r>
    </w:p>
    <w:p>
      <w:pPr>
        <w:pStyle w:val="ListParagraph"/>
        <w:numPr>
          <w:ilvl w:val="0"/>
          <w:numId w:val="2"/>
        </w:numPr>
        <w:spacing w:after="60" w:line="290"/>
      </w:pPr>
      <w:r>
        <w:rPr>
          <w:rFonts w:ascii="Arial" w:cs="Arial" w:eastAsia="Arial" w:hAnsi="Arial"/>
          <w:b/>
          <w:bCs/>
          <w:sz w:val="21"/>
          <w:szCs w:val="21"/>
        </w:rPr>
        <w:t xml:space="preserve">Giá mua biến động:</w:t>
      </w:r>
      <w:r>
        <w:rPr>
          <w:rFonts w:ascii="Arial" w:cs="Arial" w:eastAsia="Arial" w:hAnsi="Arial"/>
          <w:sz w:val="21"/>
          <w:szCs w:val="21"/>
        </w:rPr>
        <w:t xml:space="preserve"> đơn giá mua chưa thuế GTGT, quy về ĐVT chính, của từng dòng phiếu nhập kho lập từ đơn nhập (phiếu chưa ghi giá lấy giá của đơn nhập). Theo mặt hàng: giá lần đầu, gần nhất, thấp nhất, cao nhất, bình quân theo số lượng, thay đổi (gần nhất so lần đầu) và biên độ = (cao − thấp) ÷ thấp; hoặc xem từng lần nhập. Tăng giá tô đỏ, giảm tô xanh.</w:t>
      </w:r>
    </w:p>
    <w:p>
      <w:pPr>
        <w:pStyle w:val="ListParagraph"/>
        <w:numPr>
          <w:ilvl w:val="0"/>
          <w:numId w:val="2"/>
        </w:numPr>
        <w:spacing w:after="60" w:line="290"/>
      </w:pPr>
      <w:r>
        <w:rPr>
          <w:rFonts w:ascii="Arial" w:cs="Arial" w:eastAsia="Arial" w:hAnsi="Arial"/>
          <w:sz w:val="21"/>
          <w:szCs w:val="21"/>
        </w:rPr>
        <w:t xml:space="preserve">Còn chưa làm (nhãn "Sắp có"): Giao hàng, Hiệu quả theo tài xế.</w:t>
      </w: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Cấu trúc code: mỗi báo cáo là một khai báo ở giao diện (tên, nhóm, mô tả, cách nhóm, ghi chú) và một hàm tính cùng slug ở máy chủ (backend/src/modules/reports/defs); một khung dùng chung vẽ hàng công cụ, KPI, biểu đồ, bảng, sắp xếp, tìm kiếm, phân trang và Xuất Excel. Thêm báo cáo mới chỉ cần thêm hai khai báo đó.</w:t>
      </w:r>
    </w:p>
    <w:p>
      <w:pPr>
        <w:pStyle w:val="ListParagraph"/>
        <w:numPr>
          <w:ilvl w:val="0"/>
          <w:numId w:val="2"/>
        </w:numPr>
        <w:spacing w:after="60" w:line="290"/>
      </w:pPr>
      <w:r>
        <w:rPr>
          <w:rFonts w:ascii="Arial" w:cs="Arial" w:eastAsia="Arial" w:hAnsi="Arial"/>
          <w:sz w:val="21"/>
          <w:szCs w:val="21"/>
        </w:rPr>
        <w:t xml:space="preserve">Quyền theo nhóm báo cáo được áp ở giao diện và máy chủ; riêng quyền Xem giá vốn (product.view_cost_price) chưa áp dụng — ai xem được nhóm Kho / Lợi nhuận đều thấy giá trị tính theo giá vốn ước tính.</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ATL-03 · Báo cáo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ATL-03 — Báo cáo</dc:title>
  <dc:creator>Ninh Trang ERP</dc:creator>
  <cp:lastModifiedBy>Un-named</cp:lastModifiedBy>
  <cp:revision>1</cp:revision>
  <dcterms:created xsi:type="dcterms:W3CDTF">2026-10-22T00:22:04.315Z</dcterms:created>
  <dcterms:modified xsi:type="dcterms:W3CDTF">2026-10-22T00:22:04.315Z</dcterms:modified>
</cp:coreProperties>
</file>

<file path=docProps/custom.xml><?xml version="1.0" encoding="utf-8"?>
<Properties xmlns="http://schemas.openxmlformats.org/officeDocument/2006/custom-properties" xmlns:vt="http://schemas.openxmlformats.org/officeDocument/2006/docPropsVTypes"/>
</file>