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Công nợ phải trả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ATL-10</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Mua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/cong-no/nha-cung-cap</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1.1 — 23/10/2026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Theo dõi số tiền doanh nghiệp còn nợ từng nhà cung cấp, hạn thanh toán, khoản quá hạn, tiền trả trước và sổ chi tiết; từ đó lập phiếu chi.</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Kế toán: theo dõi, lập phiếu chi.</w:t>
      </w:r>
    </w:p>
    <w:p>
      <w:pPr>
        <w:pStyle w:val="ListParagraph"/>
        <w:numPr>
          <w:ilvl w:val="0"/>
          <w:numId w:val="2"/>
        </w:numPr>
        <w:spacing w:after="60" w:line="290"/>
      </w:pPr>
      <w:r>
        <w:rPr>
          <w:rFonts w:ascii="Arial" w:cs="Arial" w:eastAsia="Arial" w:hAnsi="Arial"/>
          <w:sz w:val="21"/>
          <w:szCs w:val="21"/>
        </w:rPr>
        <w:t xml:space="preserve">Quản lý: xem.</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debt.view; lập phiếu chi cần voucher.create.</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Nhận hàng (công nợ phát sinh)</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Theo dõi số dư &amp; hạn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phiếu chi</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Đối trừ công nợ</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ở đơn nhập.</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Khoản phát sinh = giá trị hàng đã nhận; hạn = ngày nhập + số ngày được nợ của NCC.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màn công nợ, xem danh sách nhà cung cấp theo số dư.</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Cột: Mã NCC, Tên NCC, Được nợ, Số khoản, Hạn gần nhất, Trả trước, Quá hạn, Số dư. Có dải "Cơ cấu nợ theo tuổi nợ", nút "Chỉ quá hạn", "Chỉ đối tác còn nợ" (mặc định bật), sắp xếp (Số dư lớn nhất, Quá hạn nhiều nhất, Hạn gần nhất, Tên A → Z).</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sổ chi tiết của một đối tác.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Tóm tắt: Số dư, Hạn gần nhất, Khoản còn mở, Trong đó quá hạn, Trả trước chưa dùng; bảng sổ liên kết về đơn nhập (/mua-hang/:id); có bộ lọc kỳ và in Biên bản đối chiếu.</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phiếu chi cho NCC (nút ở đầu trang hoặc ở từng dòng).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form Phiếu chi (/thu-chi/lap/chi); lưu xong quay lại màn công nợ kèm thông báo.</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công nợ</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nhà cung cấp; xuất Excel; dải tuổi nợ; dòng tổng.</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Sổ chi tiết</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Cùng route với ?partnerId=. Cột: Ngày, Chứng từ, Loại, Diễn giải, Phát sinh tăng, Phát sinh giảm, Đã đối trừ, Còn lại, Hạn / tình trạng, Số dư. In "Biên bản đối chiếu công nợ".</w:t>
            </w:r>
          </w:p>
        </w:tc>
      </w:tr>
    </w:tbl>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Phải trả theo hàng ĐÃ NHẬN</w:t>
      </w:r>
      <w:r>
        <w:rPr>
          <w:rFonts w:ascii="Arial" w:cs="Arial" w:eastAsia="Arial" w:hAnsi="Arial"/>
          <w:sz w:val="21"/>
          <w:szCs w:val="21"/>
        </w:rPr>
        <w:t xml:space="preserve"> của đơn nhập, không phải số đặt.</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Số dư tính trên toàn bộ lịch sử</w:t>
      </w:r>
      <w:r>
        <w:rPr>
          <w:rFonts w:ascii="Arial" w:cs="Arial" w:eastAsia="Arial" w:hAnsi="Arial"/>
          <w:sz w:val="21"/>
          <w:szCs w:val="21"/>
        </w:rPr>
        <w:t xml:space="preserve">, không phụ thuộc khoảng ngày — đây là số hai bên cần chốt.</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Đối trừ:</w:t>
      </w:r>
      <w:r>
        <w:rPr>
          <w:rFonts w:ascii="Arial" w:cs="Arial" w:eastAsia="Arial" w:hAnsi="Arial"/>
          <w:sz w:val="21"/>
          <w:szCs w:val="21"/>
        </w:rPr>
        <w:t xml:space="preserve"> phần "Chọn tay" của từng phiếu trừ đúng chứng từ đã chọn trước; phần còn lại (và mọi phiếu "Tự động") trừ vào khoản đến hạn sớm nhất trước, tiền phiếu cũ dùng trước (FIFO).</w:t>
      </w:r>
    </w:p>
    <w:p>
      <w:pPr>
        <w:pStyle w:val="ListParagraph"/>
        <w:numPr>
          <w:ilvl w:val="0"/>
          <w:numId w:val="3"/>
        </w:numPr>
        <w:spacing w:after="70" w:line="290"/>
      </w:pPr>
      <w:r>
        <w:rPr>
          <w:rFonts w:ascii="Arial" w:cs="Arial" w:eastAsia="Arial" w:hAnsi="Arial"/>
          <w:sz w:val="21"/>
          <w:szCs w:val="21"/>
        </w:rPr>
        <w:t xml:space="preserve">Tiền chi dư không gán được là </w:t>
      </w:r>
      <w:r>
        <w:rPr>
          <w:rFonts w:ascii="Arial" w:cs="Arial" w:eastAsia="Arial" w:hAnsi="Arial"/>
          <w:b/>
          <w:bCs/>
          <w:sz w:val="21"/>
          <w:szCs w:val="21"/>
        </w:rPr>
        <w:t xml:space="preserve">Trả trước</w:t>
      </w:r>
      <w:r>
        <w:rPr>
          <w:rFonts w:ascii="Arial" w:cs="Arial" w:eastAsia="Arial" w:hAnsi="Arial"/>
          <w:sz w:val="21"/>
          <w:szCs w:val="21"/>
        </w:rPr>
        <w:t xml:space="preserve"> (số dư âm).</w:t>
      </w:r>
    </w:p>
    <w:p>
      <w:pPr>
        <w:pStyle w:val="ListParagraph"/>
        <w:numPr>
          <w:ilvl w:val="0"/>
          <w:numId w:val="3"/>
        </w:numPr>
        <w:spacing w:after="70" w:line="290"/>
      </w:pPr>
      <w:r>
        <w:rPr>
          <w:rFonts w:ascii="Arial" w:cs="Arial" w:eastAsia="Arial" w:hAnsi="Arial"/>
          <w:sz w:val="21"/>
          <w:szCs w:val="21"/>
        </w:rPr>
        <w:t xml:space="preserve">Phiếu hoàn tiền từ đối tác (chiều ngược lại) tính như một khoản nợ — ăn vào số trả trước trước.</w:t>
      </w:r>
    </w:p>
    <w:p>
      <w:pPr>
        <w:pStyle w:val="ListParagraph"/>
        <w:numPr>
          <w:ilvl w:val="0"/>
          <w:numId w:val="3"/>
        </w:numPr>
        <w:spacing w:after="70" w:line="290"/>
      </w:pPr>
      <w:r>
        <w:rPr>
          <w:rFonts w:ascii="Arial" w:cs="Arial" w:eastAsia="Arial" w:hAnsi="Arial"/>
          <w:sz w:val="21"/>
          <w:szCs w:val="21"/>
        </w:rPr>
        <w:t xml:space="preserve">Phiếu thu chi đã huỷ không tính; công nợ tự mở lại.</w:t>
      </w:r>
    </w:p>
    <w:p>
      <w:pPr>
        <w:pStyle w:val="ListParagraph"/>
        <w:numPr>
          <w:ilvl w:val="0"/>
          <w:numId w:val="3"/>
        </w:numPr>
        <w:spacing w:after="70" w:line="290"/>
      </w:pPr>
      <w:r>
        <w:rPr>
          <w:rFonts w:ascii="Arial" w:cs="Arial" w:eastAsia="Arial" w:hAnsi="Arial"/>
          <w:sz w:val="21"/>
          <w:szCs w:val="21"/>
        </w:rPr>
        <w:t xml:space="preserve">Đối tác đã tất toán (số dư 0) không hiện.</w:t>
      </w:r>
    </w:p>
    <w:p>
      <w:pPr>
        <w:pStyle w:val="Heading1"/>
        <w:keepNext/>
        <w:spacing w:after="120" w:before="320"/>
      </w:pPr>
      <w:r>
        <w:rPr>
          <w:rFonts w:ascii="Arial" w:cs="Arial" w:eastAsia="Arial" w:hAnsi="Arial"/>
          <w:b/>
          <w:bCs/>
          <w:color w:val="1F3864"/>
          <w:sz w:val="28"/>
          <w:szCs w:val="28"/>
        </w:rPr>
        <w:t xml:space="preserve">5.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07"/>
        <w:gridCol w:w="5222"/>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2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DebtRow</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tượng</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partnerId, balance, overdue, prepaid, creditDays, nextDue, aging, items/entries.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DebtEntry</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sổ</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ref (mã chứng từ), date, dueDate, amount, loại PHAT_SINH / THANH_TOAN, liên kết chứng từ.</w:t>
            </w:r>
          </w:p>
        </w:tc>
      </w:tr>
    </w:tbl>
    <w:p>
      <w:pPr>
        <w:pStyle w:val="Heading1"/>
        <w:keepNext/>
        <w:spacing w:after="120" w:before="320"/>
      </w:pPr>
      <w:r>
        <w:rPr>
          <w:rFonts w:ascii="Arial" w:cs="Arial" w:eastAsia="Arial" w:hAnsi="Arial"/>
          <w:b/>
          <w:bCs/>
          <w:color w:val="1F3864"/>
          <w:sz w:val="28"/>
          <w:szCs w:val="28"/>
        </w:rPr>
        <w:t xml:space="preserve">6.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 (ATL-09)</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Nguồn khoản phát sinh.</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 (ATL-16)</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chi đối trừ công nợ.</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Tuổi nợ (ATL-19)</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Phân loại theo độ trễ.</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Nhà cung cấp (ATL-08)</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ngày được nợ.</w:t>
            </w:r>
          </w:p>
        </w:tc>
      </w:tr>
    </w:tbl>
    <w:p>
      <w:pPr>
        <w:pStyle w:val="Heading1"/>
        <w:keepNext/>
        <w:spacing w:after="120" w:before="320"/>
      </w:pPr>
      <w:r>
        <w:rPr>
          <w:rFonts w:ascii="Arial" w:cs="Arial" w:eastAsia="Arial" w:hAnsi="Arial"/>
          <w:b/>
          <w:bCs/>
          <w:color w:val="1F3864"/>
          <w:sz w:val="28"/>
          <w:szCs w:val="28"/>
        </w:rPr>
        <w:t xml:space="preserve">7.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NCC không còn nợ</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hiện trong danh sách.</w:t>
            </w:r>
          </w:p>
        </w:tc>
      </w:tr>
    </w:tbl>
    <w:p>
      <w:pPr>
        <w:pStyle w:val="Heading1"/>
        <w:keepNext/>
        <w:spacing w:after="120" w:before="320"/>
      </w:pPr>
      <w:r>
        <w:rPr>
          <w:rFonts w:ascii="Arial" w:cs="Arial" w:eastAsia="Arial" w:hAnsi="Arial"/>
          <w:b/>
          <w:bCs/>
          <w:color w:val="1F3864"/>
          <w:sz w:val="28"/>
          <w:szCs w:val="28"/>
        </w:rPr>
        <w:t xml:space="preserve">8. Bản in</w:t>
      </w:r>
    </w:p>
    <w:p>
      <w:pPr>
        <w:pStyle w:val="ListParagraph"/>
        <w:numPr>
          <w:ilvl w:val="0"/>
          <w:numId w:val="2"/>
        </w:numPr>
        <w:spacing w:after="60" w:line="290"/>
      </w:pPr>
      <w:r>
        <w:rPr>
          <w:rFonts w:ascii="Arial" w:cs="Arial" w:eastAsia="Arial" w:hAnsi="Arial"/>
          <w:sz w:val="21"/>
          <w:szCs w:val="21"/>
        </w:rPr>
        <w:t xml:space="preserve">Phiếu in: </w:t>
      </w:r>
      <w:r>
        <w:rPr>
          <w:rFonts w:ascii="Arial" w:cs="Arial" w:eastAsia="Arial" w:hAnsi="Arial"/>
          <w:b/>
          <w:bCs/>
          <w:sz w:val="21"/>
          <w:szCs w:val="21"/>
        </w:rPr>
        <w:t xml:space="preserve">Biên bản đối chiếu công nợ</w:t>
      </w:r>
      <w:r>
        <w:rPr>
          <w:rFonts w:ascii="Arial" w:cs="Arial" w:eastAsia="Arial" w:hAnsi="Arial"/>
          <w:sz w:val="21"/>
          <w:szCs w:val="21"/>
        </w:rPr>
        <w:t xml:space="preserve">, dựng bằng khuôn in chung (ATL-26): tiêu đề công ty (logo + tên + địa chỉ, mã số thuế, điện thoại, email, website có nhãn) và số phiếu, tiêu đề, khối thông tin, bảng, khối ký, chân trang "In lúc … · người in".</w:t>
      </w:r>
    </w:p>
    <w:p>
      <w:pPr>
        <w:pStyle w:val="ListParagraph"/>
        <w:numPr>
          <w:ilvl w:val="0"/>
          <w:numId w:val="2"/>
        </w:numPr>
        <w:spacing w:after="60" w:line="290"/>
      </w:pPr>
      <w:r>
        <w:rPr>
          <w:rFonts w:ascii="Arial" w:cs="Arial" w:eastAsia="Arial" w:hAnsi="Arial"/>
          <w:sz w:val="21"/>
          <w:szCs w:val="21"/>
        </w:rPr>
        <w:t xml:space="preserve">Từ sổ chi tiết của một đối tác: Bên A / Bên B, kỳ đối chiếu, bảng phát sinh có số dư đầu kỳ, cộng phát sinh, số dư cuối kỳ; đoạn xác nhận số liệu; ký đại diện Bên A, Bên B (đóng dấu).</w:t>
      </w:r>
    </w:p>
    <w:p>
      <w:pPr>
        <w:pStyle w:val="Heading1"/>
        <w:keepNext/>
        <w:spacing w:after="120" w:before="320"/>
      </w:pPr>
      <w:r>
        <w:rPr>
          <w:rFonts w:ascii="Arial" w:cs="Arial" w:eastAsia="Arial" w:hAnsi="Arial"/>
          <w:b/>
          <w:bCs/>
          <w:color w:val="1F3864"/>
          <w:sz w:val="28"/>
          <w:szCs w:val="28"/>
        </w:rPr>
        <w:t xml:space="preserve">9. Ghi chú &amp; giới hạn hiện tại</w:t>
      </w:r>
    </w:p>
    <w:p>
      <w:pPr>
        <w:pStyle w:val="ListParagraph"/>
        <w:numPr>
          <w:ilvl w:val="0"/>
          <w:numId w:val="2"/>
        </w:numPr>
        <w:spacing w:after="60" w:line="290"/>
      </w:pPr>
      <w:r>
        <w:rPr>
          <w:rFonts w:ascii="Arial" w:cs="Arial" w:eastAsia="Arial" w:hAnsi="Arial"/>
          <w:sz w:val="21"/>
          <w:szCs w:val="21"/>
        </w:rPr>
        <w:t xml:space="preserve">Màu số: số dương (nợ) và âm (trả trước) theo quy ước màu tiền của hệ thống.</w:t>
      </w:r>
    </w:p>
    <w:p>
      <w:pPr>
        <w:pStyle w:val="ListParagraph"/>
        <w:numPr>
          <w:ilvl w:val="0"/>
          <w:numId w:val="2"/>
        </w:numPr>
        <w:spacing w:after="60" w:line="290"/>
      </w:pPr>
      <w:r>
        <w:rPr>
          <w:rFonts w:ascii="Arial" w:cs="Arial" w:eastAsia="Arial" w:hAnsi="Arial"/>
          <w:sz w:val="21"/>
          <w:szCs w:val="21"/>
        </w:rPr>
        <w:t xml:space="preserve">Dữ liệu được lưu ở máy chủ (cơ sở dữ liệu PostgreSQL) và đọc / ghi qua API; các quy tắc nghiệp vụ trong tài liệu này được áp ở máy chủ, giao diện báo lỗi sớm cho người dùng. Mỗi thao tác ghi để lại một dòng Nhật ký hoạt động (ATL-27).</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ATL-10 · Công nợ phải trả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ATL-10 — Công nợ phải trả</dc:title>
  <dc:creator>Ninh Trang ERP</dc:creator>
  <cp:lastModifiedBy>Un-named</cp:lastModifiedBy>
  <cp:revision>1</cp:revision>
  <dcterms:created xsi:type="dcterms:W3CDTF">2026-10-22T00:22:04.591Z</dcterms:created>
  <dcterms:modified xsi:type="dcterms:W3CDTF">2026-10-22T00:22:04.591Z</dcterms:modified>
</cp:coreProperties>
</file>

<file path=docProps/custom.xml><?xml version="1.0" encoding="utf-8"?>
<Properties xmlns="http://schemas.openxmlformats.org/officeDocument/2006/custom-properties" xmlns:vt="http://schemas.openxmlformats.org/officeDocument/2006/docPropsVTypes"/>
</file>