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7F7F7F"/>
          <w:sz w:val="18"/>
          <w:szCs w:val="18"/>
        </w:rPr>
        <w:t xml:space="preserve">TÀI LIỆU ATLAS — CHỨC NĂNG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3864"/>
          <w:sz w:val="40"/>
          <w:szCs w:val="40"/>
        </w:rPr>
        <w:t xml:space="preserve">Khách hàng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Mã tài liệu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ATL-11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Phân hệ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Bán hàng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Đường dẫn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/khach-hang, /khach-hang/them-moi, /khach-hang/:id, /khach-hang/:id/sua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Phiên bản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1.1 — 23/10/2026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Hệ thống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Ninh Trang ERP — quản lý bán hàng, kho, sản xuất, giao hàng, công nợ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1. Tổng quan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Mục đích</w:t>
      </w:r>
    </w:p>
    <w:p>
      <w:pPr>
        <w:spacing w:after="100" w:before="0" w:line="300"/>
      </w:pPr>
      <w:r>
        <w:rPr>
          <w:rFonts w:ascii="Arial" w:cs="Arial" w:eastAsia="Arial" w:hAnsi="Arial"/>
          <w:sz w:val="21"/>
          <w:szCs w:val="21"/>
        </w:rPr>
        <w:t xml:space="preserve">Danh bạ khách hàng: loại khách (lẻ / sỉ / dropship) quyết định bảng giá, số ngày được nợ quyết định hạn thu tiền, nhiều địa chỉ giao hàng, thẻ đánh dấu; chi tiết khách tổng hợp đơn hàng, doanh số và công nợ.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Đối tượng sử dụng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Sale: thêm, sửa khách, chăm sóc.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Kế toán: xem công nợ.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Quản lý: xem toàn bộ.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Quyền liên quan</w:t>
      </w:r>
    </w:p>
    <w:p>
      <w:pPr>
        <w:spacing w:after="100" w:before="0" w:line="300"/>
      </w:pPr>
      <w:r>
        <w:rPr>
          <w:rFonts w:ascii="Arial" w:cs="Arial" w:eastAsia="Arial" w:hAnsi="Arial"/>
          <w:sz w:val="21"/>
          <w:szCs w:val="21"/>
        </w:rPr>
        <w:t xml:space="preserve">customer.view / create / update / delete.</w:t>
      </w:r>
    </w:p>
    <w:p>
      <w:pPr>
        <w:spacing w:after="100" w:before="0" w:line="300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Lưu ý: quyền được kiểm tra ở cả hai nơi — giao diện ẩn trang, mục menu và nút mà chức vụ không có quyền; máy chủ kiểm tra lại ở mọi API (thiếu quyền thì báo "Chức vụ của bạn chưa có quyền…"). Danh mục quyền: ATL-23.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2. Quy trình (workflow)</w:t>
      </w: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12"/>
        <w:gridCol w:w="2100"/>
        <w:gridCol w:w="412"/>
        <w:gridCol w:w="2100"/>
        <w:gridCol w:w="412"/>
        <w:gridCol w:w="2100"/>
      </w:tblGrid>
      <w:tr>
        <w:trPr>
          <w:cantSplit/>
        </w:trPr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Thêm khách hàng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Chọn loại khách &amp; số ngày được nợ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Khai báo địa chỉ giao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Lập đơn hàng bán</w:t>
            </w:r>
          </w:p>
        </w:tc>
      </w:tr>
    </w:tbl>
    <w:p>
      <w:pPr>
        <w:spacing w:after="40" w:before="40" w:line="300"/>
        <w:jc w:val="center"/>
      </w:pPr>
      <w:r>
        <w:rPr>
          <w:rFonts w:ascii="Arial" w:cs="Arial" w:eastAsia="Arial" w:hAnsi="Arial"/>
          <w:color w:val="7F7F7F"/>
          <w:sz w:val="17"/>
          <w:szCs w:val="17"/>
        </w:rPr>
        <w:t xml:space="preserve">↓ tiếp theo</w:t>
      </w:r>
    </w:p>
    <w:tbl>
      <w:tblPr>
        <w:tblW w:type="dxa" w:w="2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</w:tblGrid>
      <w:tr>
        <w:trPr>
          <w:cantSplit/>
        </w:trPr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Theo dõi doanh số &amp; công nợ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6"/>
        <w:gridCol w:w="1490"/>
        <w:gridCol w:w="3974"/>
        <w:gridCol w:w="3578"/>
      </w:tblGrid>
      <w:tr>
        <w:trPr>
          <w:cantSplit/>
          <w:tblHeader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Bước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Người thực hiện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Hành động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Kết quả / tác động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Sale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Thêm khách: tên, tên công ty, loại khách, số ngày được nợ, điện thoại, email, CCCD, mã số thuế cá nhân / công ty, ghi chú, thẻ đánh dấu.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Mã KH cấp tự động; cảnh báo nếu trùng điện thoại, mã số thuế hoặc tên với khách khác.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Sale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Thêm nhiều địa chỉ giao; đánh dấu địa chỉ mặc định.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Luôn có đúng một địa chỉ mặc định khi có địa chỉ.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Sale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Gắn thẻ đánh dấu (ví dụ khách quen, VIP).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Thẻ dùng chung với đơn hàng bán.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Sale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Lập đơn hàng bán từ chi tiết khách.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Loại khách chọn bảng giá; địa chỉ mặc định điền sẵn.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Sale / Quản lý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Ngừng theo dõi khi khách không còn giao dịch.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Đổi trạng thái, không xoá; đơn và công nợ giữ nguyên.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3. Màn hình &amp; thành phần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cantSplit/>
          <w:tblHeader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Màn hình / thành phần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Mô tả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Danh sách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Tìm theo tên, mã, điện thoại, mã số thuế; lọc Loại khách, Thẻ, Trạng thái, nút "Còn công nợ"; sắp xếp; xuất Excel. Cột: Mã KH, Tên, Loại, Thẻ, Liên hệ, MST, Được nợ, Đơn hàng, Đã mua, Còn phải thu, Trạng thái.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Form thêm/sửa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Khối: Thông tin chung (mã tự cấp, tên bắt buộc, tên công ty, loại khách, số ngày được nợ, điện thoại, email, thẻ đánh dấu) · Giấy tờ (CCCD, MST cá nhân, MST công ty) · Ghi chú · Địa chỉ giao hàng (tên điểm giao, người nhận, điện thoại, địa chỉ).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Chi tiết khách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Tab Thông tin chung · Địa chỉ giao hàng · Đơn hàng · Sổ công nợ. Nút: Danh sách, Lập đơn hàng, Lập phiếu thu, Sửa, Ngừng theo dõi / Theo dõi lại.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4. Trạng thái &amp; chuyển trạng thái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7"/>
        <w:gridCol w:w="4015"/>
        <w:gridCol w:w="3616"/>
      </w:tblGrid>
      <w:tr>
        <w:trPr>
          <w:cantSplit/>
          <w:tblHeader/>
        </w:trPr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Trạng thái</w:t>
            </w:r>
          </w:p>
        </w:tc>
        <w:tc>
          <w:tcPr>
            <w:tcW w:type="dxa" w:w="40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Ý nghĩa</w:t>
            </w:r>
          </w:p>
        </w:tc>
        <w:tc>
          <w:tcPr>
            <w:tcW w:type="dxa" w:w="3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Chuyển được sang / cho phép</w:t>
            </w:r>
          </w:p>
        </w:tc>
      </w:tr>
      <w:tr>
        <w:trPr>
          <w:cantSplit/>
        </w:trPr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Đang theo dõi</w:t>
            </w:r>
          </w:p>
        </w:tc>
        <w:tc>
          <w:tcPr>
            <w:tcW w:type="dxa" w:w="40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Chọn được khi lập đơn.</w:t>
            </w:r>
          </w:p>
        </w:tc>
        <w:tc>
          <w:tcPr>
            <w:tcW w:type="dxa" w:w="3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Ngừng theo dõi</w:t>
            </w:r>
          </w:p>
        </w:tc>
      </w:tr>
      <w:tr>
        <w:trPr>
          <w:cantSplit/>
        </w:trPr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Ngừng theo dõi</w:t>
            </w:r>
          </w:p>
        </w:tc>
        <w:tc>
          <w:tcPr>
            <w:tcW w:type="dxa" w:w="40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Không hiện ở lựa chọn đơn mới; lịch sử giữ.</w:t>
            </w:r>
          </w:p>
        </w:tc>
        <w:tc>
          <w:tcPr>
            <w:tcW w:type="dxa" w:w="3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Theo dõi lại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5. Quy tắc nghiệp vụ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Loại khách</w:t>
      </w:r>
      <w:r>
        <w:rPr>
          <w:rFonts w:ascii="Arial" w:cs="Arial" w:eastAsia="Arial" w:hAnsi="Arial"/>
          <w:sz w:val="21"/>
          <w:szCs w:val="21"/>
        </w:rPr>
        <w:t xml:space="preserve"> quyết định giá bán: Khách lẻ → Giá lẻ; Khách sỉ → Giá sỉ; Dropship → Giá dropship.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Số ngày được nợ</w:t>
      </w:r>
      <w:r>
        <w:rPr>
          <w:rFonts w:ascii="Arial" w:cs="Arial" w:eastAsia="Arial" w:hAnsi="Arial"/>
          <w:sz w:val="21"/>
          <w:szCs w:val="21"/>
        </w:rPr>
        <w:t xml:space="preserve"> (0 = trả khi nhận hàng): hạn thu = ngày khách nhận hàng + số ngày được nợ.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Tên hiện trên chứng từ: có tên công ty thì dùng tên công ty.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Đơn hàng, doanh số, công nợ của khách đều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suy ra từ dữ liệu</w:t>
      </w:r>
      <w:r>
        <w:rPr>
          <w:rFonts w:ascii="Arial" w:cs="Arial" w:eastAsia="Arial" w:hAnsi="Arial"/>
          <w:sz w:val="21"/>
          <w:szCs w:val="21"/>
        </w:rPr>
        <w:t xml:space="preserve">, không lưu trên khách.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Không xoá khách: Ngừng theo dõi chỉ đổi trạng thái.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Cảnh báo trùng điện thoại / mã số thuế / tên khi lưu.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Khách đã ngừng theo dõi không xuất hiện ở báo cáo Khách ngừng mua.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6. Dữ liệu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007"/>
        <w:gridCol w:w="5222"/>
      </w:tblGrid>
      <w:tr>
        <w:trPr>
          <w:cantSplit/>
          <w:tblHeader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Trường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Kiểu / định dạng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Mô tả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code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 + 7 số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Mã khách.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name, companyName, type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Chuỗi, enum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Tên, tên công ty, LE / SI / DROPSHIP.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phone, email, idNumber, personalTaxCode, companyTaxCode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Chuỗi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Điện thoại, email, CCCD, MST cá nhân, MST công ty (có kiểm tra định dạng).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creditDays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Số ngày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Số ngày được nợ.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addresses[]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Danh sách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Địa chỉ giao, có cờ mặc định.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tagIds, isActive, note, createdAt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Khác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Thẻ, trạng thái, ghi chú.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7. Liên kết với chức năng khác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10"/>
        <w:gridCol w:w="7028"/>
      </w:tblGrid>
      <w:tr>
        <w:trPr>
          <w:cantSplit/>
          <w:tblHeader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Chức năng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Quan hệ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Đơn hàng bán (ATL-12)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Đơn gắn khách; giá theo loại khách.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Công nợ phải thu (ATL-15)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Số dư và tuổi nợ theo khách.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Thẻ đánh dấu (ATL-21)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Gắn thẻ cho khách.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8. Trường hợp ngoại lệ &amp; thông báo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4"/>
        <w:gridCol w:w="6024"/>
      </w:tblGrid>
      <w:tr>
        <w:trPr>
          <w:cantSplit/>
          <w:tblHeader/>
        </w:trPr>
        <w:tc>
          <w:tcPr>
            <w:tcW w:type="dxa" w:w="3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Tình huống</w:t>
            </w:r>
          </w:p>
        </w:tc>
        <w:tc>
          <w:tcPr>
            <w:tcW w:type="dxa" w:w="6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Hệ thống xử lý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Trùng thông tin</w:t>
            </w:r>
          </w:p>
        </w:tc>
        <w:tc>
          <w:tcPr>
            <w:tcW w:type="dxa" w:w="6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Cảnh báo, cho phép sửa hoặc vẫn lưu.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Không tìm thấy khách</w:t>
            </w:r>
          </w:p>
        </w:tc>
        <w:tc>
          <w:tcPr>
            <w:tcW w:type="dxa" w:w="6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Trang trống kèm nút về danh sách.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9. Ghi chú &amp; giới hạn hiện tại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Đường dẫn /khach-hang/them tự chuyển sang /khach-hang/them-moi.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Dữ liệu được lưu ở máy chủ (cơ sở dữ liệu PostgreSQL) và đọc / ghi qua API; các quy tắc nghiệp vụ trong tài liệu này được áp ở máy chủ, giao diện báo lỗi sớm cho người dùng. Mỗi thao tác ghi để lại một dòng Nhật ký hoạt động (ATL-27).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Trang chi tiết có mục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Nhật ký</w:t>
      </w:r>
      <w:r>
        <w:rPr>
          <w:rFonts w:ascii="Arial" w:cs="Arial" w:eastAsia="Arial" w:hAnsi="Arial"/>
          <w:sz w:val="21"/>
          <w:szCs w:val="21"/>
        </w:rPr>
        <w:t xml:space="preserve">: mọi thao tác trên bản ghi này — ai, lúc nào (đến giây), trường nào đổi từ giá trị nào sang giá trị nào, kể cả thao tác từ chứng từ liên quan. Xem ATL-27.</w:t>
      </w:r>
    </w:p>
    <w:sectPr>
      <w:headerReference w:type="default" r:id="rId6"/>
      <w:footerReference w:type="default" r:id="rId7"/>
      <w:pgSz w:w="11906" w:h="16838" w:orient="portrait"/>
      <w:pgMar w:top="1300" w:right="1134" w:bottom="12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F7F7F"/>
        <w:sz w:val="17"/>
        <w:szCs w:val="17"/>
      </w:rPr>
      <w:t xml:space="preserve">Trang </w:t>
    </w:r>
    <w:r>
      <w:rPr>
        <w:rFonts w:ascii="Arial" w:cs="Arial" w:eastAsia="Arial" w:hAnsi="Arial"/>
        <w:color w:val="7F7F7F"/>
        <w:sz w:val="17"/>
        <w:szCs w:val="17"/>
      </w:rPr>
      <w:fldChar w:fldCharType="begin"/>
    </w:r>
    <w:r>
      <w:rPr>
        <w:rFonts w:ascii="Arial" w:cs="Arial" w:eastAsia="Arial" w:hAnsi="Arial"/>
        <w:color w:val="7F7F7F"/>
        <w:sz w:val="17"/>
        <w:szCs w:val="17"/>
      </w:rPr>
      <w:instrText xml:space="preserve">PAGE</w:instrText>
    </w:r>
    <w:r>
      <w:rPr>
        <w:rFonts w:ascii="Arial" w:cs="Arial" w:eastAsia="Arial" w:hAnsi="Arial"/>
        <w:color w:val="7F7F7F"/>
        <w:sz w:val="17"/>
        <w:szCs w:val="17"/>
      </w:rPr>
      <w:fldChar w:fldCharType="separate"/>
    </w:r>
    <w:r>
      <w:rPr>
        <w:rFonts w:ascii="Arial" w:cs="Arial" w:eastAsia="Arial" w:hAnsi="Arial"/>
        <w:color w:val="7F7F7F"/>
        <w:sz w:val="17"/>
        <w:szCs w:val="17"/>
      </w:rPr>
      <w:fldChar w:fldCharType="end"/>
    </w:r>
    <w:r>
      <w:rPr>
        <w:rFonts w:ascii="Arial" w:cs="Arial" w:eastAsia="Arial" w:hAnsi="Arial"/>
        <w:color w:val="7F7F7F"/>
        <w:sz w:val="17"/>
        <w:szCs w:val="17"/>
      </w:rPr>
      <w:t xml:space="preserve"> / </w:t>
    </w:r>
    <w:r>
      <w:rPr>
        <w:rFonts w:ascii="Arial" w:cs="Arial" w:eastAsia="Arial" w:hAnsi="Arial"/>
        <w:color w:val="7F7F7F"/>
        <w:sz w:val="17"/>
        <w:szCs w:val="17"/>
      </w:rPr>
      <w:fldChar w:fldCharType="begin"/>
    </w:r>
    <w:r>
      <w:rPr>
        <w:rFonts w:ascii="Arial" w:cs="Arial" w:eastAsia="Arial" w:hAnsi="Arial"/>
        <w:color w:val="7F7F7F"/>
        <w:sz w:val="17"/>
        <w:szCs w:val="17"/>
      </w:rPr>
      <w:instrText xml:space="preserve">NUMPAGES</w:instrText>
    </w:r>
    <w:r>
      <w:rPr>
        <w:rFonts w:ascii="Arial" w:cs="Arial" w:eastAsia="Arial" w:hAnsi="Arial"/>
        <w:color w:val="7F7F7F"/>
        <w:sz w:val="17"/>
        <w:szCs w:val="17"/>
      </w:rPr>
      <w:fldChar w:fldCharType="separate"/>
    </w:r>
    <w:r>
      <w:rPr>
        <w:rFonts w:ascii="Arial" w:cs="Arial" w:eastAsia="Arial" w:hAnsi="Arial"/>
        <w:color w:val="7F7F7F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A6A6A6" w:sz="6" w:space="2"/>
      </w:pBdr>
      <w:tabs>
        <w:tab w:val="right" w:pos="9638"/>
      </w:tabs>
    </w:pPr>
    <w:r>
      <w:rPr>
        <w:rFonts w:ascii="Arial" w:cs="Arial" w:eastAsia="Arial" w:hAnsi="Arial"/>
        <w:color w:val="7F7F7F"/>
        <w:sz w:val="17"/>
        <w:szCs w:val="17"/>
      </w:rPr>
      <w:t xml:space="preserve">Ninh Trang ERP — Tài liệu Atlas</w:t>
    </w:r>
    <w:r>
      <w:rPr>
        <w:rFonts w:ascii="Arial" w:cs="Arial" w:eastAsia="Arial" w:hAnsi="Arial"/>
        <w:color w:val="7F7F7F"/>
        <w:sz w:val="17"/>
        <w:szCs w:val="17"/>
      </w:rPr>
      <w:t xml:space="preserve">	ATL-11 · Khách hàng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2F5496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ATL-11 — Khách hàng</dc:title>
  <dc:creator>Ninh Trang ERP</dc:creator>
  <cp:lastModifiedBy>Un-named</cp:lastModifiedBy>
  <cp:revision>1</cp:revision>
  <dcterms:created xsi:type="dcterms:W3CDTF">2026-10-22T00:22:04.616Z</dcterms:created>
  <dcterms:modified xsi:type="dcterms:W3CDTF">2026-10-22T00:22:04.616Z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