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Công nợ phải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ATL-15</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/cong-no/khach-hang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Theo dõi số tiền khách còn nợ, hạn thanh toán, khoản quá hạn, tiền khách trả trước, sổ chi tiết từng khách và lập phiếu thu.</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Kế toán: theo dõi, lập phiếu thu.</w:t>
      </w:r>
    </w:p>
    <w:p>
      <w:pPr>
        <w:pStyle w:val="ListParagraph"/>
        <w:numPr>
          <w:ilvl w:val="0"/>
          <w:numId w:val="2"/>
        </w:numPr>
        <w:spacing w:after="60" w:line="290"/>
      </w:pPr>
      <w:r>
        <w:rPr>
          <w:rFonts w:ascii="Arial" w:cs="Arial" w:eastAsia="Arial" w:hAnsi="Arial"/>
          <w:sz w:val="21"/>
          <w:szCs w:val="21"/>
        </w:rPr>
        <w:t xml:space="preserve">Sale / Quản lý: xem công nợ khách của mình.</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debt.view; voucher.create để lập phiếu thu.</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Giao hàng (công nợ phát sinh)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Theo dõi số dư &amp; hạn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phiếu thu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Đối trừ</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nhận hàng (giao trực tiếp hoặc chốt giao ở chuyến).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phát sinh = giá trị khách thực nhận; hạn = ngày nhận + số ngày được nợ của khách.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màn công nợ, xem danh sách khách hàng theo số dư.</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Mã KH, Tên khách hàng, Loại, Điện thoại, Được nợ, Số khoản, Hạn gần nhất, Trả trước, Quá hạn, Số dư. Có dải "Cơ cấu nợ theo tuổi nợ", nút "Chỉ quá hạn", "Chỉ đối tác còn nợ" (mặc định bật), sắp xếp (Số dư lớn nhất, Quá hạn nhiều nhất, Hạn gần nhất, Tên A → Z).</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sổ chi tiết của một đối tác.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Tóm tắt: Số dư, Hạn gần nhất, Khoản còn mở, Trong đó quá hạn, Trả trước chưa dùng; bảng sổ liên kết về đơn hàng (/don-hang/:id); có bộ lọc kỳ và in Biên bản đối chiếu.</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thu cho khách (nút ở đầu trang hoặc ở từng dòng).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Phiếu thu (/thu-chi/lap/thu); lưu xong quay lại màn công nợ kèm thông báo.</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 công nợ</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khách hàng; xuất Excel; dải tuổi nợ; dòng tổng.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Sổ chi tiết</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Cùng route với ?partnerId=, dùng chung màn với phải trả. Có tóm tắt, bộ lọc kỳ, in "Biên bản đối chiếu công nợ".</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Phải thu theo giá trị khách THỰC NHẬN</w:t>
      </w:r>
      <w:r>
        <w:rPr>
          <w:rFonts w:ascii="Arial" w:cs="Arial" w:eastAsia="Arial" w:hAnsi="Arial"/>
          <w:sz w:val="21"/>
          <w:szCs w:val="21"/>
        </w:rPr>
        <w:t xml:space="preserve">, không theo số đặt; hạn = ngày giao + số ngày được nợ của khách.</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Số dư tính trên toàn bộ lịch sử</w:t>
      </w:r>
      <w:r>
        <w:rPr>
          <w:rFonts w:ascii="Arial" w:cs="Arial" w:eastAsia="Arial" w:hAnsi="Arial"/>
          <w:sz w:val="21"/>
          <w:szCs w:val="21"/>
        </w:rPr>
        <w:t xml:space="preserve">, không phụ thuộc khoảng ngày.</w:t>
      </w:r>
    </w:p>
    <w:p>
      <w:pPr>
        <w:pStyle w:val="ListParagraph"/>
        <w:numPr>
          <w:ilvl w:val="0"/>
          <w:numId w:val="3"/>
        </w:numPr>
        <w:spacing w:after="70" w:line="290"/>
      </w:pPr>
      <w:r>
        <w:rPr>
          <w:rFonts w:ascii="Arial" w:cs="Arial" w:eastAsia="Arial" w:hAnsi="Arial"/>
          <w:sz w:val="21"/>
          <w:szCs w:val="21"/>
        </w:rPr>
        <w:t xml:space="preserve">Phiếu thu: phần Chọn tay trừ đúng chứng từ; phần còn lại và mọi phiếu Tự động trừ khoản đến hạn sớm nhất (FIFO).</w:t>
      </w:r>
    </w:p>
    <w:p>
      <w:pPr>
        <w:pStyle w:val="ListParagraph"/>
        <w:numPr>
          <w:ilvl w:val="0"/>
          <w:numId w:val="3"/>
        </w:numPr>
        <w:spacing w:after="70" w:line="290"/>
      </w:pPr>
      <w:r>
        <w:rPr>
          <w:rFonts w:ascii="Arial" w:cs="Arial" w:eastAsia="Arial" w:hAnsi="Arial"/>
          <w:sz w:val="21"/>
          <w:szCs w:val="21"/>
        </w:rPr>
        <w:t xml:space="preserve">Tiền thu dư không gán được là </w:t>
      </w:r>
      <w:r>
        <w:rPr>
          <w:rFonts w:ascii="Arial" w:cs="Arial" w:eastAsia="Arial" w:hAnsi="Arial"/>
          <w:b/>
          <w:bCs/>
          <w:sz w:val="21"/>
          <w:szCs w:val="21"/>
        </w:rPr>
        <w:t xml:space="preserve">Trả trước</w:t>
      </w:r>
      <w:r>
        <w:rPr>
          <w:rFonts w:ascii="Arial" w:cs="Arial" w:eastAsia="Arial" w:hAnsi="Arial"/>
          <w:sz w:val="21"/>
          <w:szCs w:val="21"/>
        </w:rPr>
        <w:t xml:space="preserve"> (số dư âm, hiện màu).</w:t>
      </w:r>
    </w:p>
    <w:p>
      <w:pPr>
        <w:pStyle w:val="ListParagraph"/>
        <w:numPr>
          <w:ilvl w:val="0"/>
          <w:numId w:val="3"/>
        </w:numPr>
        <w:spacing w:after="70" w:line="290"/>
      </w:pPr>
      <w:r>
        <w:rPr>
          <w:rFonts w:ascii="Arial" w:cs="Arial" w:eastAsia="Arial" w:hAnsi="Arial"/>
          <w:sz w:val="21"/>
          <w:szCs w:val="21"/>
        </w:rPr>
        <w:t xml:space="preserve">Phiếu hoàn tiền cho khách (chiều ngược lại) tính như một khoản nợ.</w:t>
      </w:r>
    </w:p>
    <w:p>
      <w:pPr>
        <w:pStyle w:val="ListParagraph"/>
        <w:numPr>
          <w:ilvl w:val="0"/>
          <w:numId w:val="3"/>
        </w:numPr>
        <w:spacing w:after="70" w:line="290"/>
      </w:pPr>
      <w:r>
        <w:rPr>
          <w:rFonts w:ascii="Arial" w:cs="Arial" w:eastAsia="Arial" w:hAnsi="Arial"/>
          <w:sz w:val="21"/>
          <w:szCs w:val="21"/>
        </w:rPr>
        <w:t xml:space="preserve">Phiếu đã huỷ không tính; công nợ tự mở lại.</w:t>
      </w:r>
    </w:p>
    <w:p>
      <w:pPr>
        <w:pStyle w:val="ListParagraph"/>
        <w:numPr>
          <w:ilvl w:val="0"/>
          <w:numId w:val="3"/>
        </w:numPr>
        <w:spacing w:after="70" w:line="290"/>
      </w:pPr>
      <w:r>
        <w:rPr>
          <w:rFonts w:ascii="Arial" w:cs="Arial" w:eastAsia="Arial" w:hAnsi="Arial"/>
          <w:sz w:val="21"/>
          <w:szCs w:val="21"/>
        </w:rPr>
        <w:t xml:space="preserve">Đối tác tất toán (số dư 0) không hiện.</w:t>
      </w:r>
    </w:p>
    <w:p>
      <w:pPr>
        <w:pStyle w:val="Heading1"/>
        <w:keepNext/>
        <w:spacing w:after="120" w:before="320"/>
      </w:pPr>
      <w:r>
        <w:rPr>
          <w:rFonts w:ascii="Arial" w:cs="Arial" w:eastAsia="Arial" w:hAnsi="Arial"/>
          <w:b/>
          <w:bCs/>
          <w:color w:val="1F3864"/>
          <w:sz w:val="28"/>
          <w:szCs w:val="28"/>
        </w:rPr>
        <w:t xml:space="preserve">5.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DebtRow / DebtEntry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Như công nợ phải trả</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partnerId, balance, overdue, prepaid, aging, entries; entry gồm ref, date, dueDate, amount, loại.</w:t>
            </w:r>
          </w:p>
        </w:tc>
      </w:tr>
    </w:tbl>
    <w:p>
      <w:pPr>
        <w:pStyle w:val="Heading1"/>
        <w:keepNext/>
        <w:spacing w:after="120" w:before="320"/>
      </w:pPr>
      <w:r>
        <w:rPr>
          <w:rFonts w:ascii="Arial" w:cs="Arial" w:eastAsia="Arial" w:hAnsi="Arial"/>
          <w:b/>
          <w:bCs/>
          <w:color w:val="1F3864"/>
          <w:sz w:val="28"/>
          <w:szCs w:val="28"/>
        </w:rPr>
        <w:t xml:space="preserve">6.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 Chuyến giao hàng (ATL-13)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Nguồn phát sinh công nợ.</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đối trừ.</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 (ATL-19)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Phân loại độ trễ.</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(ATL-11)</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 được nợ.</w:t>
            </w:r>
          </w:p>
        </w:tc>
      </w:tr>
    </w:tbl>
    <w:p>
      <w:pPr>
        <w:pStyle w:val="Heading1"/>
        <w:keepNext/>
        <w:spacing w:after="120" w:before="320"/>
      </w:pPr>
      <w:r>
        <w:rPr>
          <w:rFonts w:ascii="Arial" w:cs="Arial" w:eastAsia="Arial" w:hAnsi="Arial"/>
          <w:b/>
          <w:bCs/>
          <w:color w:val="1F3864"/>
          <w:sz w:val="28"/>
          <w:szCs w:val="28"/>
        </w:rPr>
        <w:t xml:space="preserve">7.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không còn nợ</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hiện trong danh sách.</w:t>
            </w:r>
          </w:p>
        </w:tc>
      </w:tr>
    </w:tbl>
    <w:p>
      <w:pPr>
        <w:pStyle w:val="Heading1"/>
        <w:keepNext/>
        <w:spacing w:after="120" w:before="320"/>
      </w:pPr>
      <w:r>
        <w:rPr>
          <w:rFonts w:ascii="Arial" w:cs="Arial" w:eastAsia="Arial" w:hAnsi="Arial"/>
          <w:b/>
          <w:bCs/>
          <w:color w:val="1F3864"/>
          <w:sz w:val="28"/>
          <w:szCs w:val="28"/>
        </w:rPr>
        <w:t xml:space="preserve">8.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Biên bản đối chiếu công nợ</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Từ sổ chi tiết của một khách hàng: Bên A / Bên B, kỳ đối chiếu, bảng phát sinh, số dư đầu / cuối kỳ; ký đại diện hai bên (đóng dấu).</w:t>
      </w: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2"/>
        </w:numPr>
        <w:spacing w:after="60" w:line="290"/>
      </w:pPr>
      <w:r>
        <w:rPr>
          <w:rFonts w:ascii="Arial" w:cs="Arial" w:eastAsia="Arial" w:hAnsi="Arial"/>
          <w:sz w:val="21"/>
          <w:szCs w:val="21"/>
        </w:rPr>
        <w:t xml:space="preserve">Tổng phải thu khớp tổng giá trị thực nhận trừ tổng phiếu thu đã đối trừ.</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ATL-15 · Công nợ phải thu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ATL-15 — Công nợ phải thu</dc:title>
  <dc:creator>Ninh Trang ERP</dc:creator>
  <cp:lastModifiedBy>Un-named</cp:lastModifiedBy>
  <cp:revision>1</cp:revision>
  <dcterms:created xsi:type="dcterms:W3CDTF">2026-10-22T00:22:04.790Z</dcterms:created>
  <dcterms:modified xsi:type="dcterms:W3CDTF">2026-10-22T00:22:04.790Z</dcterms:modified>
</cp:coreProperties>
</file>

<file path=docProps/custom.xml><?xml version="1.0" encoding="utf-8"?>
<Properties xmlns="http://schemas.openxmlformats.org/officeDocument/2006/custom-properties" xmlns:vt="http://schemas.openxmlformats.org/officeDocument/2006/docPropsVTypes"/>
</file>