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Tuổi nợ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ATL-19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Dòng tiền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/cong-no/tuoi-no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 — 23/10/2026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Phân loại các khoản nợ còn lại theo độ trễ so với hạn thanh toán để biết khoản nào cần đòi gấp hoặc phải trả sớm — cho cả phải thu khách hàng và phải trả nhà cung cấp.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Kế toán, Quản lý.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debt.view.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quyền được kiểm tra ở cả hai nơi — giao diện ẩn trang, mục menu và nút mà chức vụ không có quyền; máy chủ kiểm tra lại ở mọi API (thiếu quyền thì báo "Chức vụ của bạn chưa có quyền…"). Danh mục quyền: ATL-23.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Chọn loại công nợ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Chọn cách xem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Lọc nhóm tuổi nợ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Mở sổ / lập phiếu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490"/>
        <w:gridCol w:w="3974"/>
        <w:gridCol w:w="3578"/>
      </w:tblGrid>
      <w:tr>
        <w:trPr>
          <w:cantSplit/>
          <w:tblHeader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Phải thu khách hàng hoặc Phải trả nhà cung cấp (hoặc đi từ Tổng quan: ?loai=phai-thu).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Bảng và dải tuổi nợ đổi theo.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cách xem: Theo đối tác hoặc Theo chứng từ.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Theo đối tác: mỗi khách / NCC một dòng; theo chứng từ: từng khoản nợ.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một nhóm tuổi nợ để lọc.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Chỉ hiện các khoản/đối tác trong nhóm; có chip bỏ lọc.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sổ công nợ hoặc lập phiếu thu/chi từ dòng.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Liên kết sang màn hình công nợ / phiếu.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loại công nợ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Hai nút: Phải trả nhà cung cấp / Phải thu khách hàng.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Dải tuổi nợ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Chưa đến hạn · Quá hạn 1–30 ngày · 31–60 ngày · 61–90 ngày · Trên 90 ngày; mỗi nhóm hiện số tiền và tỷ trọng.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Bảng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Theo đối tác hoặc Theo chứng từ (hai tab có số đếm); nút "Chỉ quá hạn"; sắp xếp Tên A → Z, Quá hạn lâu nhất, Quá hạn nhiều nhất, Tổng nợ lớn nhất; xuất Excel; tính đến hôm nay.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Quy tắc nghiệp vụ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Chỉ tính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khoản TĂNG NỢ còn chưa trả hết</w:t>
      </w:r>
      <w:r>
        <w:rPr>
          <w:rFonts w:ascii="Arial" w:cs="Arial" w:eastAsia="Arial" w:hAnsi="Arial"/>
          <w:sz w:val="21"/>
          <w:szCs w:val="21"/>
        </w:rPr>
        <w:t xml:space="preserve"> (sau đối trừ).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Tiền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trả trước không trừ</w:t>
      </w:r>
      <w:r>
        <w:rPr>
          <w:rFonts w:ascii="Arial" w:cs="Arial" w:eastAsia="Arial" w:hAnsi="Arial"/>
          <w:sz w:val="21"/>
          <w:szCs w:val="21"/>
        </w:rPr>
        <w:t xml:space="preserve"> vào tuổi nợ vì chưa gán được vào khoản cụ thể.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Khoản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chưa khai hạn thanh toán</w:t>
      </w:r>
      <w:r>
        <w:rPr>
          <w:rFonts w:ascii="Arial" w:cs="Arial" w:eastAsia="Arial" w:hAnsi="Arial"/>
          <w:sz w:val="21"/>
          <w:szCs w:val="21"/>
        </w:rPr>
        <w:t xml:space="preserve"> xếp vào Chưa đến hạn.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Phân nhóm theo số ngày quá hạn tính từ hạn thanh toán tới hôm nay.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Tuổi nợ tính trên toàn bộ lịch sử, không phụ thuộc kỳ.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Công nợ phải thu / phải trả (ATL-15, ATL-10)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Nguồn dữ liệu và nơi đối trừ.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Tổng quan (ATL-02)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Ô khách nợ quá hạn, phải trả đến hạn.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thu chi (ATL-16)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Lập phiếu để xử lý khoản quá hạn.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cantSplit/>
          <w:tblHeader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có khoản nợ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 rỗng.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Bản in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Phiếu in: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Báo cáo tuổi nợ (khổ A4 ngang)</w:t>
      </w:r>
      <w:r>
        <w:rPr>
          <w:rFonts w:ascii="Arial" w:cs="Arial" w:eastAsia="Arial" w:hAnsi="Arial"/>
          <w:sz w:val="21"/>
          <w:szCs w:val="21"/>
        </w:rPr>
        <w:t xml:space="preserve">, dựng bằng khuôn in chung (ATL-26): tiêu đề công ty (logo + tên + địa chỉ, mã số thuế, điện thoại, email, website có nhãn) và số phiếu, tiêu đề, khối thông tin, bảng, khối ký, chân trang "In lúc … · người in".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Bảng theo đối tác với năm nhóm tuổi nợ và tổng còn nợ, dòng tổng cộng; tiêu đề phụ ghi ngày tính, nhóm đang lọc, "chỉ khoản quá hạn"; ký: Người lập biểu, Kế toán trưởng.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Ghi chú &amp; giới hạn hiện tại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Dải tuổi nợ cũng xuất hiện trên hai danh sách công nợ và trong file Excel công nợ.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Dữ liệu được lưu ở máy chủ (cơ sở dữ liệu PostgreSQL) và đọc / ghi qua API; các quy tắc nghiệp vụ trong tài liệu này được áp ở máy chủ, giao diện báo lỗi sớm cho người dùng. Mỗi thao tác ghi để lại một dòng Nhật ký hoạt động (ATL-27).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 xml:space="preserve">	ATL-19 · Tuổi nợ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ATL-19 — Tuổi nợ</dc:title>
  <dc:creator>Ninh Trang ERP</dc:creator>
  <cp:lastModifiedBy>Un-named</cp:lastModifiedBy>
  <cp:revision>1</cp:revision>
  <dcterms:created xsi:type="dcterms:W3CDTF">2026-10-22T00:22:04.898Z</dcterms:created>
  <dcterms:modified xsi:type="dcterms:W3CDTF">2026-10-22T00:22:04.898Z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