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Arial" w:cs="Arial" w:eastAsia="Arial" w:hAnsi="Arial"/>
          <w:b/>
          <w:bCs/>
          <w:color w:val="7F7F7F"/>
          <w:sz w:val="18"/>
          <w:szCs w:val="18"/>
        </w:rPr>
        <w:t xml:space="preserve">TÀI LIỆU ATLAS — CHỨC NĂNG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F3864"/>
          <w:sz w:val="40"/>
          <w:szCs w:val="40"/>
        </w:rPr>
        <w:t xml:space="preserve">Phiếu in (khuôn in chung)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Mã tài liệu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ATL-26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Phân hệ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Hệ thống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Đường dẫn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Nút In ở các màn hình chứng từ và báo cáo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Phiên bản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1.1 — 23/10/2026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Hệ thống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Ninh Trang ERP — quản lý bán hàng, kho, sản xuất, giao hàng, công nợ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1. Tổng quan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Mục đích</w:t>
      </w:r>
    </w:p>
    <w:p>
      <w:pPr>
        <w:spacing w:after="100" w:before="0" w:line="300"/>
      </w:pPr>
      <w:r>
        <w:rPr>
          <w:rFonts w:ascii="Arial" w:cs="Arial" w:eastAsia="Arial" w:hAnsi="Arial"/>
          <w:sz w:val="21"/>
          <w:szCs w:val="21"/>
        </w:rPr>
        <w:t xml:space="preserve">Một khuôn in duy nhất cho toàn hệ thống để mọi phiếu in gọn gàng, chuyên nghiệp và giống nhau: cùng tiêu đề công ty, cùng cách trình bày bảng, tổng tiền, khối chữ ký và chân trang. Màn hình chỉ cung cấp nội dung; không tự định kiểu giấy.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Đối tượng sử dụng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Mọi người dùng bấm nút In.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Quyền liên quan</w:t>
      </w:r>
    </w:p>
    <w:p>
      <w:pPr>
        <w:spacing w:after="100" w:before="0" w:line="300"/>
      </w:pPr>
      <w:r>
        <w:rPr>
          <w:rFonts w:ascii="Arial" w:cs="Arial" w:eastAsia="Arial" w:hAnsi="Arial"/>
          <w:sz w:val="21"/>
          <w:szCs w:val="21"/>
        </w:rPr>
        <w:t xml:space="preserve">Theo quyền của chức năng chứa phiếu (xem ATL-23).</w:t>
      </w:r>
    </w:p>
    <w:p>
      <w:pPr>
        <w:spacing w:after="100" w:before="0" w:line="300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Lưu ý: quyền được kiểm tra ở cả hai nơi — giao diện ẩn trang, mục menu và nút mà chức vụ không có quyền; máy chủ kiểm tra lại ở mọi API (thiếu quyền thì báo "Chức vụ của bạn chưa có quyền…"). Danh mục quyền: ATL-23.</w:t>
      </w: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2. Quy trình (workflow)</w:t>
      </w:r>
    </w:p>
    <w:tbl>
      <w:tblPr>
        <w:tblW w:type="dxa" w:w="96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412"/>
        <w:gridCol w:w="2100"/>
        <w:gridCol w:w="412"/>
        <w:gridCol w:w="2100"/>
        <w:gridCol w:w="412"/>
        <w:gridCol w:w="2100"/>
      </w:tblGrid>
      <w:tr>
        <w:trPr>
          <w:cantSplit/>
        </w:trPr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Mở chứng từ / báo cáo</w:t>
            </w:r>
          </w:p>
        </w:tc>
        <w:tc>
          <w:tcPr>
            <w:tcW w:type="dxa" w:w="4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→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Bấm In</w:t>
            </w:r>
          </w:p>
        </w:tc>
        <w:tc>
          <w:tcPr>
            <w:tcW w:type="dxa" w:w="4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→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Trình duyệt hiện bản in A4</w:t>
            </w:r>
          </w:p>
        </w:tc>
        <w:tc>
          <w:tcPr>
            <w:tcW w:type="dxa" w:w="4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→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 hoặc lưu PDF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6"/>
        <w:gridCol w:w="1490"/>
        <w:gridCol w:w="3974"/>
        <w:gridCol w:w="3578"/>
      </w:tblGrid>
      <w:tr>
        <w:trPr>
          <w:cantSplit/>
          <w:tblHeader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Bước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Người thực hiện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Hành động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Kết quả / tác động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Người dùng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Bấm In trên phiếu kho, phiếu thu chi, đơn bán, đơn nhập, chuyến giao hàng, công nợ hoặc tuổi nợ.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Hệ thống ẩn menu, thanh trên và các nút; chỉ in phần phiếu.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Hệ thống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Dựng phiếu theo khuôn: tiêu đề công ty, số phiếu, tiêu đề, thông tin, bảng, khối ký, chân trang.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Giấy luôn nền trắng chữ đen, kể cả khi màn hình đang ở giao diện tối.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Người dùng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Chọn máy in hoặc "Lưu thành PDF".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Số trang hiện ở chân trang dạng "Trang x / y".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3. Quy tắc nghiệp vụ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Khổ A4 dọc, lề 14 / 12 / 16 / 16 mm; bảng nhiều cột (tuổi nợ) dùng A4 ngang.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Thông tin công ty và logo lấy từ Thiết lập › Thông tin công ty (ATL-20); đổi ở đó thì mọi phiếu đổi theo.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Phiếu đã huỷ luôn in dấu "ĐÃ HUỶ" cạnh số phiếu.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Muốn thêm phiếu in mới chỉ cần dùng khuôn chung, không viết lại kiểu in.</w:t>
      </w: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4. Liên kết với chức năng khác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10"/>
        <w:gridCol w:w="7028"/>
      </w:tblGrid>
      <w:tr>
        <w:trPr>
          <w:cantSplit/>
          <w:tblHeader/>
        </w:trPr>
        <w:tc>
          <w:tcPr>
            <w:tcW w:type="dxa" w:w="2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Chức năng</w:t>
            </w:r>
          </w:p>
        </w:tc>
        <w:tc>
          <w:tcPr>
            <w:tcW w:type="dxa" w:w="70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Quan hệ</w:t>
            </w:r>
          </w:p>
        </w:tc>
      </w:tr>
      <w:tr>
        <w:trPr>
          <w:cantSplit/>
        </w:trPr>
        <w:tc>
          <w:tcPr>
            <w:tcW w:type="dxa" w:w="2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Thông tin công ty (ATL-20)</w:t>
            </w:r>
          </w:p>
        </w:tc>
        <w:tc>
          <w:tcPr>
            <w:tcW w:type="dxa" w:w="70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Nguồn của tiêu đề và logo.</w:t>
            </w:r>
          </w:p>
        </w:tc>
      </w:tr>
      <w:tr>
        <w:trPr>
          <w:cantSplit/>
        </w:trPr>
        <w:tc>
          <w:tcPr>
            <w:tcW w:type="dxa" w:w="2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Các chức năng có nút In</w:t>
            </w:r>
          </w:p>
        </w:tc>
        <w:tc>
          <w:tcPr>
            <w:tcW w:type="dxa" w:w="70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Phiếu kho, thu chi, đơn bán, đơn nhập, chuyến giao hàng, công nợ, tuổi nợ.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5. Cấu trúc một phiếu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7"/>
        <w:gridCol w:w="7631"/>
      </w:tblGrid>
      <w:tr>
        <w:trPr>
          <w:cantSplit/>
          <w:tblHeader/>
        </w:trPr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Khối</w:t>
            </w:r>
          </w:p>
        </w:tc>
        <w:tc>
          <w:tcPr>
            <w:tcW w:type="dxa" w:w="76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Nội dung</w:t>
            </w:r>
          </w:p>
        </w:tc>
      </w:tr>
      <w:tr>
        <w:trPr>
          <w:cantSplit/>
        </w:trPr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Tiêu đề công ty</w:t>
            </w:r>
          </w:p>
        </w:tc>
        <w:tc>
          <w:tcPr>
            <w:tcW w:type="dxa" w:w="76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Logo (nếu có), tên công ty in hoa, các dòng có nhãn: Địa chỉ, Mã số thuế, Điện thoại, Email, Website (mục nào trống thì bỏ). Bên phải: "Số: …" và dấu "ĐÃ HUỶ" nếu có. Dưới cùng là đường kẻ đậm.</w:t>
            </w:r>
          </w:p>
        </w:tc>
      </w:tr>
      <w:tr>
        <w:trPr>
          <w:cantSplit/>
        </w:trPr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Tiêu đề phiếu</w:t>
            </w:r>
          </w:p>
        </w:tc>
        <w:tc>
          <w:tcPr>
            <w:tcW w:type="dxa" w:w="76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Căn giữa, in hoa, cỡ lớn; dưới là "Ngày … tháng … năm …" hoặc dòng phụ (kỳ đối chiếu, "Tính đến ngày …").</w:t>
            </w:r>
          </w:p>
        </w:tc>
      </w:tr>
      <w:tr>
        <w:trPr>
          <w:cantSplit/>
        </w:trPr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Khối thông tin</w:t>
            </w:r>
          </w:p>
        </w:tc>
        <w:tc>
          <w:tcPr>
            <w:tcW w:type="dxa" w:w="76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Khung hai cột nhãn – giá trị (kho, lý do, khách hàng, địa chỉ…) hoặc dạng điền thông tin có dòng chấm (phiếu thu / chi).</w:t>
            </w:r>
          </w:p>
        </w:tc>
      </w:tr>
      <w:tr>
        <w:trPr>
          <w:cantSplit/>
        </w:trPr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Bảng</w:t>
            </w:r>
          </w:p>
        </w:tc>
        <w:tc>
          <w:tcPr>
            <w:tcW w:type="dxa" w:w="76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Cột STT đầu tiên, tiêu đề tô nền nhạt, số căn phải, dòng tổng cộng tô nền; tiêu đề lặp lại khi bảng sang trang mới, dòng không bị cắt đôi giữa hai trang.</w:t>
            </w:r>
          </w:p>
        </w:tc>
      </w:tr>
      <w:tr>
        <w:trPr>
          <w:cantSplit/>
        </w:trPr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Tổng tiền</w:t>
            </w:r>
          </w:p>
        </w:tc>
        <w:tc>
          <w:tcPr>
            <w:tcW w:type="dxa" w:w="76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Tiền hàng, chiết khấu, thuế GTGT, Tổng thanh toán (dòng kẻ đôi) và "Bằng chữ".</w:t>
            </w:r>
          </w:p>
        </w:tc>
      </w:tr>
      <w:tr>
        <w:trPr>
          <w:cantSplit/>
        </w:trPr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Khối chữ ký</w:t>
            </w:r>
          </w:p>
        </w:tc>
        <w:tc>
          <w:tcPr>
            <w:tcW w:type="dxa" w:w="76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2–5 cột theo loại phiếu, kèm "(Ký, họ tên)"; tên người lập in dưới chỗ ký.</w:t>
            </w:r>
          </w:p>
        </w:tc>
      </w:tr>
      <w:tr>
        <w:trPr>
          <w:cantSplit/>
        </w:trPr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Chân trang</w:t>
            </w:r>
          </w:p>
        </w:tc>
        <w:tc>
          <w:tcPr>
            <w:tcW w:type="dxa" w:w="76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"In lúc dd/mm/yyyy hh:mm · tên người in" và tên công ty; số trang "Trang x / y".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6. Các phiếu đang dùng khuôn này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11"/>
        <w:gridCol w:w="3413"/>
        <w:gridCol w:w="3214"/>
      </w:tblGrid>
      <w:tr>
        <w:trPr>
          <w:cantSplit/>
          <w:tblHeader/>
        </w:trPr>
        <w:tc>
          <w:tcPr>
            <w:tcW w:type="dxa" w:w="301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Phiếu</w:t>
            </w:r>
          </w:p>
        </w:tc>
        <w:tc>
          <w:tcPr>
            <w:tcW w:type="dxa" w:w="34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Màn hình</w:t>
            </w:r>
          </w:p>
        </w:tc>
        <w:tc>
          <w:tcPr>
            <w:tcW w:type="dxa" w:w="32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Ghi chú</w:t>
            </w:r>
          </w:p>
        </w:tc>
      </w:tr>
      <w:tr>
        <w:trPr>
          <w:cantSplit/>
        </w:trPr>
        <w:tc>
          <w:tcPr>
            <w:tcW w:type="dxa" w:w="301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Phiếu nhập / xuất / chuyển kho, kiểm kê</w:t>
            </w:r>
          </w:p>
        </w:tc>
        <w:tc>
          <w:tcPr>
            <w:tcW w:type="dxa" w:w="34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Phiếu kho (ATL-06)</w:t>
            </w:r>
          </w:p>
        </w:tc>
        <w:tc>
          <w:tcPr>
            <w:tcW w:type="dxa" w:w="32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 loại, khối ký riêng từng loại.</w:t>
            </w:r>
          </w:p>
        </w:tc>
      </w:tr>
      <w:tr>
        <w:trPr>
          <w:cantSplit/>
        </w:trPr>
        <w:tc>
          <w:tcPr>
            <w:tcW w:type="dxa" w:w="301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Phiếu thu, Phiếu chi</w:t>
            </w:r>
          </w:p>
        </w:tc>
        <w:tc>
          <w:tcPr>
            <w:tcW w:type="dxa" w:w="34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Phiếu thu chi (ATL-16)</w:t>
            </w:r>
          </w:p>
        </w:tc>
        <w:tc>
          <w:tcPr>
            <w:tcW w:type="dxa" w:w="32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Dạng điền thông tin, 5 chữ ký.</w:t>
            </w:r>
          </w:p>
        </w:tc>
      </w:tr>
      <w:tr>
        <w:trPr>
          <w:cantSplit/>
        </w:trPr>
        <w:tc>
          <w:tcPr>
            <w:tcW w:type="dxa" w:w="301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Đơn hàng bán</w:t>
            </w:r>
          </w:p>
        </w:tc>
        <w:tc>
          <w:tcPr>
            <w:tcW w:type="dxa" w:w="34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Đơn hàng bán (ATL-12)</w:t>
            </w:r>
          </w:p>
        </w:tc>
        <w:tc>
          <w:tcPr>
            <w:tcW w:type="dxa" w:w="32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Có chiết khấu, thuế, bằng chữ.</w:t>
            </w:r>
          </w:p>
        </w:tc>
      </w:tr>
      <w:tr>
        <w:trPr>
          <w:cantSplit/>
        </w:trPr>
        <w:tc>
          <w:tcPr>
            <w:tcW w:type="dxa" w:w="301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Đơn nhập hàng</w:t>
            </w:r>
          </w:p>
        </w:tc>
        <w:tc>
          <w:tcPr>
            <w:tcW w:type="dxa" w:w="34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Đơn nhập hàng (ATL-09)</w:t>
            </w:r>
          </w:p>
        </w:tc>
        <w:tc>
          <w:tcPr>
            <w:tcW w:type="dxa" w:w="32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Có thuế, bằng chữ.</w:t>
            </w:r>
          </w:p>
        </w:tc>
      </w:tr>
      <w:tr>
        <w:trPr>
          <w:cantSplit/>
        </w:trPr>
        <w:tc>
          <w:tcPr>
            <w:tcW w:type="dxa" w:w="301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Phiếu soạn hàng, Phiếu giao hàng</w:t>
            </w:r>
          </w:p>
        </w:tc>
        <w:tc>
          <w:tcPr>
            <w:tcW w:type="dxa" w:w="34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Chuyến giao hàng (ATL-13)</w:t>
            </w:r>
          </w:p>
        </w:tc>
        <w:tc>
          <w:tcPr>
            <w:tcW w:type="dxa" w:w="32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Mỗi đơn một phiếu giao, một trang.</w:t>
            </w:r>
          </w:p>
        </w:tc>
      </w:tr>
      <w:tr>
        <w:trPr>
          <w:cantSplit/>
        </w:trPr>
        <w:tc>
          <w:tcPr>
            <w:tcW w:type="dxa" w:w="301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Biên bản đối chiếu công nợ</w:t>
            </w:r>
          </w:p>
        </w:tc>
        <w:tc>
          <w:tcPr>
            <w:tcW w:type="dxa" w:w="34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Công nợ phải thu / phải trả (ATL-15, ATL-10)</w:t>
            </w:r>
          </w:p>
        </w:tc>
        <w:tc>
          <w:tcPr>
            <w:tcW w:type="dxa" w:w="32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Bên A / Bên B, ký đóng dấu.</w:t>
            </w:r>
          </w:p>
        </w:tc>
      </w:tr>
      <w:tr>
        <w:trPr>
          <w:cantSplit/>
        </w:trPr>
        <w:tc>
          <w:tcPr>
            <w:tcW w:type="dxa" w:w="301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Báo cáo tuổi nợ</w:t>
            </w:r>
          </w:p>
        </w:tc>
        <w:tc>
          <w:tcPr>
            <w:tcW w:type="dxa" w:w="34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Tuổi nợ (ATL-19)</w:t>
            </w:r>
          </w:p>
        </w:tc>
        <w:tc>
          <w:tcPr>
            <w:tcW w:type="dxa" w:w="32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Khổ A4 ngang.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7. Ghi chú &amp; giới hạn hiện tại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Đơn hàng bán và đơn nhập hàng trước đây in nguyên màn hình; nay có phiếu in riêng theo khuôn này.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Dữ liệu được lưu ở máy chủ (cơ sở dữ liệu PostgreSQL) và đọc / ghi qua API; các quy tắc nghiệp vụ trong tài liệu này được áp ở máy chủ, giao diện báo lỗi sớm cho người dùng. Mỗi thao tác ghi để lại một dòng Nhật ký hoạt động (ATL-27).</w:t>
      </w:r>
    </w:p>
    <w:sectPr>
      <w:headerReference w:type="default" r:id="rId6"/>
      <w:footerReference w:type="default" r:id="rId7"/>
      <w:pgSz w:w="11906" w:h="16838" w:orient="portrait"/>
      <w:pgMar w:top="1300" w:right="1134" w:bottom="120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F7F7F"/>
        <w:sz w:val="17"/>
        <w:szCs w:val="17"/>
      </w:rPr>
      <w:t xml:space="preserve">Trang </w:t>
    </w:r>
    <w:r>
      <w:rPr>
        <w:rFonts w:ascii="Arial" w:cs="Arial" w:eastAsia="Arial" w:hAnsi="Arial"/>
        <w:color w:val="7F7F7F"/>
        <w:sz w:val="17"/>
        <w:szCs w:val="17"/>
      </w:rPr>
      <w:fldChar w:fldCharType="begin"/>
    </w:r>
    <w:r>
      <w:rPr>
        <w:rFonts w:ascii="Arial" w:cs="Arial" w:eastAsia="Arial" w:hAnsi="Arial"/>
        <w:color w:val="7F7F7F"/>
        <w:sz w:val="17"/>
        <w:szCs w:val="17"/>
      </w:rPr>
      <w:instrText xml:space="preserve">PAGE</w:instrText>
    </w:r>
    <w:r>
      <w:rPr>
        <w:rFonts w:ascii="Arial" w:cs="Arial" w:eastAsia="Arial" w:hAnsi="Arial"/>
        <w:color w:val="7F7F7F"/>
        <w:sz w:val="17"/>
        <w:szCs w:val="17"/>
      </w:rPr>
      <w:fldChar w:fldCharType="separate"/>
    </w:r>
    <w:r>
      <w:rPr>
        <w:rFonts w:ascii="Arial" w:cs="Arial" w:eastAsia="Arial" w:hAnsi="Arial"/>
        <w:color w:val="7F7F7F"/>
        <w:sz w:val="17"/>
        <w:szCs w:val="17"/>
      </w:rPr>
      <w:fldChar w:fldCharType="end"/>
    </w:r>
    <w:r>
      <w:rPr>
        <w:rFonts w:ascii="Arial" w:cs="Arial" w:eastAsia="Arial" w:hAnsi="Arial"/>
        <w:color w:val="7F7F7F"/>
        <w:sz w:val="17"/>
        <w:szCs w:val="17"/>
      </w:rPr>
      <w:t xml:space="preserve"> / </w:t>
    </w:r>
    <w:r>
      <w:rPr>
        <w:rFonts w:ascii="Arial" w:cs="Arial" w:eastAsia="Arial" w:hAnsi="Arial"/>
        <w:color w:val="7F7F7F"/>
        <w:sz w:val="17"/>
        <w:szCs w:val="17"/>
      </w:rPr>
      <w:fldChar w:fldCharType="begin"/>
    </w:r>
    <w:r>
      <w:rPr>
        <w:rFonts w:ascii="Arial" w:cs="Arial" w:eastAsia="Arial" w:hAnsi="Arial"/>
        <w:color w:val="7F7F7F"/>
        <w:sz w:val="17"/>
        <w:szCs w:val="17"/>
      </w:rPr>
      <w:instrText xml:space="preserve">NUMPAGES</w:instrText>
    </w:r>
    <w:r>
      <w:rPr>
        <w:rFonts w:ascii="Arial" w:cs="Arial" w:eastAsia="Arial" w:hAnsi="Arial"/>
        <w:color w:val="7F7F7F"/>
        <w:sz w:val="17"/>
        <w:szCs w:val="17"/>
      </w:rPr>
      <w:fldChar w:fldCharType="separate"/>
    </w:r>
    <w:r>
      <w:rPr>
        <w:rFonts w:ascii="Arial" w:cs="Arial" w:eastAsia="Arial" w:hAnsi="Arial"/>
        <w:color w:val="7F7F7F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A6A6A6" w:sz="6" w:space="2"/>
      </w:pBdr>
      <w:tabs>
        <w:tab w:val="right" w:pos="9638"/>
      </w:tabs>
    </w:pPr>
    <w:r>
      <w:rPr>
        <w:rFonts w:ascii="Arial" w:cs="Arial" w:eastAsia="Arial" w:hAnsi="Arial"/>
        <w:color w:val="7F7F7F"/>
        <w:sz w:val="17"/>
        <w:szCs w:val="17"/>
      </w:rPr>
      <w:t xml:space="preserve">Ninh Trang ERP — Tài liệu Atlas</w:t>
    </w:r>
    <w:r>
      <w:rPr>
        <w:rFonts w:ascii="Arial" w:cs="Arial" w:eastAsia="Arial" w:hAnsi="Arial"/>
        <w:color w:val="7F7F7F"/>
        <w:sz w:val="17"/>
        <w:szCs w:val="17"/>
      </w:rPr>
      <w:t xml:space="preserve">	ATL-26 · Phiếu in (khuôn in chung)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Arial" w:cs="Arial" w:eastAsia="Arial" w:hAnsi="Arial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2F5496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ATL-26 — Phiếu in (khuôn in chung)</dc:title>
  <dc:creator>Ninh Trang ERP</dc:creator>
  <cp:lastModifiedBy>Un-named</cp:lastModifiedBy>
  <cp:revision>1</cp:revision>
  <dcterms:created xsi:type="dcterms:W3CDTF">2026-10-22T00:22:05.117Z</dcterms:created>
  <dcterms:modified xsi:type="dcterms:W3CDTF">2026-10-22T00:22:05.117Z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