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r="http://schemas.openxmlformats.org/officeDocument/2006/relationships" xmlns:w="http://schemas.openxmlformats.org/wordprocessingml/2006/main">
  <w:body>
    <w:p>
      <w:pPr>
        <w:spacing w:after="40"/>
      </w:pPr>
      <w:r>
        <w:rPr>
          <w:rFonts w:ascii="Arial" w:cs="Arial" w:eastAsia="Arial" w:hAnsi="Arial"/>
          <w:b/>
          <w:bCs/>
          <w:color w:val="7F7F7F"/>
          <w:sz w:val="18"/>
          <w:szCs w:val="18"/>
        </w:rPr>
        <w:t xml:space="preserve">TÀI LIỆU ATLAS — CHỨC NĂNG</w:t>
      </w:r>
    </w:p>
    <w:p>
      <w:pPr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Tổng quan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Mã tài liệu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ATL-02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Phân hệ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quan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Đường dẫn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/tong-quan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Phiên bản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1.2 — 29/10/2026</w:t>
            </w:r>
          </w:p>
        </w:tc>
      </w:tr>
      <w:tr>
        <w:tc>
          <w:tcPr>
            <w:tcW w:type="dxa" w:w="24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</w:t>
            </w:r>
          </w:p>
        </w:tc>
        <w:tc>
          <w:tcPr>
            <w:tcW w:type="dxa" w:w="72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Ninh Trang ERP — quản lý bán hàng, kho, sản xuất, giao hàng, công nợ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1. Tổng quan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Mục đích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Bảng điều khiển cho chủ doanh nghiệp, sắp xếp để nhìn vào là biết ngay vấn đề nằm ở đâu: đầu trang là dải doanh thu của kỳ (con số, so với kỳ trước, đường 12 tháng) đặt cạnh cột "Cần xử lý"; kế đó là thẻ từng mảng theo màu phân hệ (bán hàng, kho &amp; mua hàng, lợi nhuận, dòng tiền, công nợ) với trạng thái Ổn / Cần theo dõi / Có vấn đề; cuối trang là các biểu đồ. Mỗi dòng, mỗi con số bấm vào được màn hình chi tiết.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Đối tượng sử dụng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CEO / Quản lý: xem toàn bộ.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Kế toán: xem công nợ, dòng tiền, lợi nhuận.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Sale: xem doanh thu và tình hình đơn hàng.</w:t>
      </w:r>
    </w:p>
    <w:p>
      <w:pPr>
        <w:pStyle w:val="Heading2"/>
        <w:keepNext/>
        <w:spacing w:after="80" w:before="200"/>
      </w:pPr>
      <w:r>
        <w:rPr>
          <w:rFonts w:ascii="Arial" w:cs="Arial" w:eastAsia="Arial" w:hAnsi="Arial"/>
          <w:b/>
          <w:bCs/>
          <w:color w:val="2F5496"/>
          <w:sz w:val="24"/>
          <w:szCs w:val="24"/>
        </w:rPr>
        <w:t xml:space="preserve">Quyền liên quan</w:t>
      </w:r>
    </w:p>
    <w:p>
      <w:pPr>
        <w:spacing w:after="100" w:before="0" w:line="300"/>
      </w:pPr>
      <w:r>
        <w:rPr>
          <w:rFonts w:ascii="Arial" w:cs="Arial" w:eastAsia="Arial" w:hAnsi="Arial"/>
          <w:sz w:val="21"/>
          <w:szCs w:val="21"/>
        </w:rPr>
        <w:t xml:space="preserve">report.dashboard (xem trang); lãi gộp và hàng bán dưới giá vốn cần report.view_profit; công nợ cần debt.view; giá trị tồn kho cần stock.view_value hoặc product.view_cost_price.</w:t>
      </w:r>
    </w:p>
    <w:p>
      <w:pPr>
        <w:spacing w:after="100" w:before="0" w:line="300"/>
      </w:pPr>
      <w:r>
        <w:rPr>
          <w:rFonts w:ascii="Arial" w:cs="Arial" w:eastAsia="Arial" w:hAnsi="Arial"/>
          <w:i/>
          <w:iCs/>
          <w:sz w:val="19"/>
          <w:szCs w:val="19"/>
        </w:rPr>
        <w:t xml:space="preserve">Lưu ý: quyền được kiểm tra ở cả hai nơi — giao diện ẩn trang, mục menu và nút mà chức vụ không có quyền; máy chủ kiểm tra lại ở mọi API (thiếu quyền thì báo "Chức vụ của bạn chưa có quyền…"). Danh mục quyền: ATL-23.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2. Quy trình (workflow)</w:t>
      </w:r>
    </w:p>
    <w:tbl>
      <w:tblPr>
        <w:tblW w:type="dxa" w:w="963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412"/>
        <w:gridCol w:w="2100"/>
        <w:gridCol w:w="412"/>
        <w:gridCol w:w="2100"/>
        <w:gridCol w:w="412"/>
        <w:gridCol w:w="2100"/>
      </w:tblGrid>
      <w:tr>
        <w:trPr>
          <w:cantSplit/>
        </w:trPr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Chọn kỳ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Đọc doanh thu &amp; "Cần xử lý"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Xem thẻ từng mảng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2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Xem biểu đồ 12 tháng</w:t>
            </w:r>
          </w:p>
        </w:tc>
      </w:tr>
    </w:tbl>
    <w:p>
      <w:pPr>
        <w:spacing w:after="0" w:line="120" w:lineRule="exact"/>
      </w:pPr>
    </w:p>
    <w:p>
      <w:pPr>
        <w:spacing w:after="40" w:before="40" w:line="300"/>
        <w:jc w:val="center"/>
      </w:pPr>
      <w:r>
        <w:rPr>
          <w:rFonts w:ascii="Arial" w:cs="Arial" w:eastAsia="Arial" w:hAnsi="Arial"/>
          <w:color w:val="7F7F7F"/>
          <w:sz w:val="17"/>
          <w:szCs w:val="17"/>
        </w:rPr>
        <w:t xml:space="preserve">↓ tiếp theo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13"/>
        <w:gridCol w:w="412"/>
        <w:gridCol w:w="4613"/>
      </w:tblGrid>
      <w:tr>
        <w:trPr>
          <w:cantSplit/>
        </w:trPr>
        <w:tc>
          <w:tcPr>
            <w:tcW w:type="dxa" w:w="46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Bấm vào dòng / số</w:t>
            </w:r>
          </w:p>
        </w:tc>
        <w:tc>
          <w:tcPr>
            <w:tcW w:type="dxa" w:w="41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26"/>
                <w:szCs w:val="26"/>
              </w:rPr>
              <w:t xml:space="preserve">→</w:t>
            </w:r>
          </w:p>
        </w:tc>
        <w:tc>
          <w:tcPr>
            <w:tcW w:type="dxa" w:w="46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EEAF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after="20" w:line="270"/>
              <w:jc w:val="center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mở đúng màn hình để xử lý</w:t>
            </w:r>
          </w:p>
        </w:tc>
      </w:tr>
    </w:tbl>
    <w:p>
      <w:pPr>
        <w:spacing w:after="0" w:line="120" w:lineRule="exact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0"/>
        <w:gridCol w:w="1100"/>
        <w:gridCol w:w="2216"/>
        <w:gridCol w:w="5662"/>
      </w:tblGrid>
      <w:tr>
        <w:trPr>
          <w:cantSplit/>
          <w:tblHeader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Bước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Người thực hiện</w:t>
            </w:r>
          </w:p>
        </w:tc>
        <w:tc>
          <w:tcPr>
            <w:tcW w:type="dxa" w:w="2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Hành động</w:t>
            </w:r>
          </w:p>
        </w:tc>
        <w:tc>
          <w:tcPr>
            <w:tcW w:type="dxa" w:w="5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Kết quả / tác động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1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2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kỳ bằng bốn nút Tháng này / Quý này / Năm nay / Tất cả, hoặc bộ chọn kỳ bên cạnh cho khoảng khác.</w:t>
            </w:r>
          </w:p>
        </w:tc>
        <w:tc>
          <w:tcPr>
            <w:tcW w:type="dxa" w:w="5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Mọi số liệu tính lại cho kỳ (tối đa tới hôm nay); công nợ và tồn quỹ luôn là toàn bộ lịch sử. Dòng phụ dưới tiêu đề ghi "từ … đến …".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2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2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Đọc dải doanh thu đầu trang.</w:t>
            </w:r>
          </w:p>
        </w:tc>
        <w:tc>
          <w:tcPr>
            <w:tcW w:type="dxa" w:w="5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Doanh thu kỳ, % so với kỳ trước cùng độ dài, vài chỉ số phụ (đơn, công nợ); đường doanh thu 12 tháng gần nhất với điểm cao nhất; hai nút nhanh Lập đơn hàng, Lập phiếu thu.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3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2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Đọc cột "Cần xử lý" bên cạnh.</w:t>
            </w:r>
          </w:p>
        </w:tc>
        <w:tc>
          <w:tcPr>
            <w:tcW w:type="dxa" w:w="5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"N việc, việc gấp ở trên"; đếm "N nghiêm trọng · N cần theo dõi"; 10 việc mỗi trang, có nút trang trước / sau. Không có vấn đề thì hiện thông báo màu xanh.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4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2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"Tình hình từng mảng".</w:t>
            </w:r>
          </w:p>
        </w:tc>
        <w:tc>
          <w:tcPr>
            <w:tcW w:type="dxa" w:w="5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Mỗi thẻ mang màu phân hệ: con số của kỳ, % so kỳ trước, đường nhỏ 12 tháng (sparkline), nhãn trạng thái, các dòng chi tiết bấm được và liên kết "Xem …".</w:t>
            </w:r>
          </w:p>
        </w:tc>
      </w:tr>
      <w:tr>
        <w:trPr>
          <w:cantSplit/>
        </w:trPr>
        <w:tc>
          <w:tcPr>
            <w:tcW w:type="dxa" w:w="66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5</w:t>
            </w:r>
          </w:p>
        </w:tc>
        <w:tc>
          <w:tcPr>
            <w:tcW w:type="dxa" w:w="11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Quản lý</w:t>
            </w:r>
          </w:p>
        </w:tc>
        <w:tc>
          <w:tcPr>
            <w:tcW w:type="dxa" w:w="2216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Xem các biểu đồ cuối trang.</w:t>
            </w:r>
          </w:p>
        </w:tc>
        <w:tc>
          <w:tcPr>
            <w:tcW w:type="dxa" w:w="566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Doanh thu, nhập hàng và lãi gộp 12 tháng; Mặt hàng bán chạy (top 10, 5 mỗi trang); Doanh thu theo ngày / tháng của kỳ; Cơ cấu tồn kho theo nhóm.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3. Màn hình &amp; thành phần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30"/>
        <w:gridCol w:w="8208"/>
      </w:tblGrid>
      <w:tr>
        <w:trPr>
          <w:cantSplit/>
          <w:tblHeader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Màn hình / thành phần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Mô tả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Chọn kỳ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Bốn nút kỳ thường dùng + bộ lọc kỳ đầy đủ (hôm nay, hôm qua, 7/30 ngày qua, tuần, tháng, quý, năm, tuỳ chọn khoảng ngày).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Dải doanh thu (hero)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Nền màu rêu: doanh thu kỳ, so sánh có màu (▲/▼), các chỉ số phụ, nút Lập đơn hàng / Lập phiếu thu, đường doanh thu 12 tháng có điểm rê chuột và bảng ẩn cho trình đọc màn hình; chưa có số thì "Chưa có doanh thu trong 12 tháng gần nhất".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Cần xử lý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Mỗi dòng: mức độ (Nghiêm trọng / Theo dõi), tiêu đề (ví dụ "Khách nợ quá hạn 14.696.000 ₫"), một câu giải thích, mảng, nút "Xem …"; phân trang 10 dòng.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Bán hàng &amp; giao hàng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Số đơn của kỳ (+ % và sparkline); "đơn đang xử lý"; dòng Chờ sản xuất, Đang giao, Trễ hẹn giao, Khách ngừng mua &gt; 60 ngày.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Kho &amp; mua hàng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Giá trị nhập hàng của kỳ (+ % và sparkline); số mặt hàng dưới tồn tối thiểu; vòng "Tồn kho an toàn" (% mặt hàng đủ tối thiểu); dòng Cần nhập thêm, Đơn nhập chờ nhận hàng.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Lợi nhuận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Lãi gộp (+ tỷ suất so kỳ trước, sparkline); tỷ suất lãi gộp; chiết khấu trên giá trị hàng; dòng Bán dưới giá vốn, Chiết khấu đã cấp.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Dòng tiền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Tiền thu về của kỳ (+ sparkline); tồn quỹ hiện tại; Thu − Chi; số dư từng tài khoản.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"Khách còn nợ mình" và "Mình còn nợ nhà cung cấp" cạnh nhau, mỗi bên có Quá hạn và Đến hạn trong 7 ngày.</w:t>
            </w:r>
          </w:p>
        </w:tc>
      </w:tr>
      <w:tr>
        <w:trPr>
          <w:cantSplit/>
        </w:trPr>
        <w:tc>
          <w:tcPr>
            <w:tcW w:type="dxa" w:w="143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Biểu đồ</w:t>
            </w:r>
          </w:p>
        </w:tc>
        <w:tc>
          <w:tcPr>
            <w:tcW w:type="dxa" w:w="820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Cột doanh thu / nhập hàng / lãi gộp 12 tháng (chú giải, rê chuột xem tháng); Mặt hàng bán chạy (tên, số lượng, tỷ trọng, phân trang); Doanh thu theo ngày (kỳ dài hơn 62 ngày gom theo tháng); Cơ cấu tồn kho theo nhóm hàng.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4. Quy tắc nghiệp vụ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Doanh thu</w:t>
      </w:r>
      <w:r>
        <w:rPr>
          <w:rFonts w:ascii="Arial" w:cs="Arial" w:eastAsia="Arial" w:hAnsi="Arial"/>
          <w:sz w:val="21"/>
          <w:szCs w:val="21"/>
        </w:rPr>
        <w:t xml:space="preserve"> ghi nhận khi khách thực nhận hàng, đúng bằng số đã vào công nợ phải thu, vào ngày giao; trả hàng làm giảm doanh thu vào ngày trả; đơn huỷ và đơn chưa giao không tính.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Kỳ trước</w:t>
      </w:r>
      <w:r>
        <w:rPr>
          <w:rFonts w:ascii="Arial" w:cs="Arial" w:eastAsia="Arial" w:hAnsi="Arial"/>
          <w:sz w:val="21"/>
          <w:szCs w:val="21"/>
        </w:rPr>
        <w:t xml:space="preserve"> là khoảng liền trước, cùng độ dài kỳ đang xem; không có số kỳ trước thì không hiện %. Sparkline luôn là 12 tháng gần nhất, không phụ thuộc kỳ.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Lãi gộp</w:t>
      </w:r>
      <w:r>
        <w:rPr>
          <w:rFonts w:ascii="Arial" w:cs="Arial" w:eastAsia="Arial" w:hAnsi="Arial"/>
          <w:sz w:val="21"/>
          <w:szCs w:val="21"/>
        </w:rPr>
        <w:t xml:space="preserve"> = doanh thu thuần − giá vốn hàng bán; giá vốn là bình quân gia quyền di động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đã chốt trên phiếu xuất</w:t>
      </w:r>
      <w:r>
        <w:rPr>
          <w:rFonts w:ascii="Arial" w:cs="Arial" w:eastAsia="Arial" w:hAnsi="Arial"/>
          <w:sz w:val="21"/>
          <w:szCs w:val="21"/>
        </w:rPr>
        <w:t xml:space="preserve"> lúc giao (ATL-03).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Phần trăm</w:t>
      </w:r>
      <w:r>
        <w:rPr>
          <w:rFonts w:ascii="Arial" w:cs="Arial" w:eastAsia="Arial" w:hAnsi="Arial"/>
          <w:sz w:val="21"/>
          <w:szCs w:val="21"/>
        </w:rPr>
        <w:t xml:space="preserve"> hiển thị dạng "▲ +12,5%" / "▼ −60,8%" (dấu phẩy thập phân, dấu trừ thật).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Nghiêm trọng:</w:t>
      </w:r>
      <w:r>
        <w:rPr>
          <w:rFonts w:ascii="Arial" w:cs="Arial" w:eastAsia="Arial" w:hAnsi="Arial"/>
          <w:sz w:val="21"/>
          <w:szCs w:val="21"/>
        </w:rPr>
        <w:t xml:space="preserve"> đơn trễ hẹn giao; khách nợ quá hạn; nợ nhà cung cấp quá hạn; có dòng bán dưới giá vốn; lãi gộp âm; tài khoản quỹ âm.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Cần theo dõi:</w:t>
      </w:r>
      <w:r>
        <w:rPr>
          <w:rFonts w:ascii="Arial" w:cs="Arial" w:eastAsia="Arial" w:hAnsi="Arial"/>
          <w:sz w:val="21"/>
          <w:szCs w:val="21"/>
        </w:rPr>
        <w:t xml:space="preserve"> phải trả NCC đến hạn trong 7 ngày (khi chưa có khoản quá hạn); tỷ suất lãi gộp giảm hơn 5 điểm so kỳ trước; chiết khấu từ 10% giá trị hàng; doanh thu giảm từ 20% so kỳ trước; có khách ngừng mua; hàng dưới tồn tối thiểu; chi vượt thu trong kỳ.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Việc chỉ là tiến độ bình thường (đơn chờ sản xuất, đang giao, đơn nhập chờ nhận)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không</w:t>
      </w:r>
      <w:r>
        <w:rPr>
          <w:rFonts w:ascii="Arial" w:cs="Arial" w:eastAsia="Arial" w:hAnsi="Arial"/>
          <w:sz w:val="21"/>
          <w:szCs w:val="21"/>
        </w:rPr>
        <w:t xml:space="preserve"> là vấn đề; chúng nằm trong thẻ từng mảng.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Trạng thái mỗi thẻ lấy theo vấn đề nặng nhất của mảng trong "Cần xử lý"; không có vấn đề thì "Ổn".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Đơn trễ hẹn giao:</w:t>
      </w:r>
      <w:r>
        <w:rPr>
          <w:rFonts w:ascii="Arial" w:cs="Arial" w:eastAsia="Arial" w:hAnsi="Arial"/>
          <w:sz w:val="21"/>
          <w:szCs w:val="21"/>
        </w:rPr>
        <w:t xml:space="preserve"> ngày cần giao đã qua, chưa kết thúc, chưa Hoàn thành / Huỷ / Trả toàn bộ và còn dòng chưa giao hết.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Hàng dưới tồn tối thiểu:</w:t>
      </w:r>
      <w:r>
        <w:rPr>
          <w:rFonts w:ascii="Arial" w:cs="Arial" w:eastAsia="Arial" w:hAnsi="Arial"/>
          <w:sz w:val="21"/>
          <w:szCs w:val="21"/>
        </w:rPr>
        <w:t xml:space="preserve"> hàng đang kinh doanh, không phải dịch vụ, tồn tối thiểu &gt; 0 và tổng tồn các kho nhỏ hơn mức đó. </w:t>
      </w:r>
      <w:r>
        <w:rPr>
          <w:rFonts w:ascii="Arial" w:cs="Arial" w:eastAsia="Arial" w:hAnsi="Arial"/>
          <w:b/>
          <w:bCs/>
          <w:sz w:val="21"/>
          <w:szCs w:val="21"/>
        </w:rPr>
        <w:t xml:space="preserve">Tồn kho an toàn</w:t>
      </w:r>
      <w:r>
        <w:rPr>
          <w:rFonts w:ascii="Arial" w:cs="Arial" w:eastAsia="Arial" w:hAnsi="Arial"/>
          <w:sz w:val="21"/>
          <w:szCs w:val="21"/>
        </w:rPr>
        <w:t xml:space="preserve"> = tỷ lệ mặt hàng có tồn tối thiểu mà đủ mức.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Khách ngừng mua:</w:t>
      </w:r>
      <w:r>
        <w:rPr>
          <w:rFonts w:ascii="Arial" w:cs="Arial" w:eastAsia="Arial" w:hAnsi="Arial"/>
          <w:sz w:val="21"/>
          <w:szCs w:val="21"/>
        </w:rPr>
        <w:t xml:space="preserve"> khách đang theo dõi, từng nhận hàng nhưng lần nhận cuối cách hôm nay hơn 60 ngày.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sz w:val="21"/>
          <w:szCs w:val="21"/>
        </w:rPr>
        <w:t xml:space="preserve">Ngày "hôm nay" tính theo giờ Việt Nam.</w:t>
      </w: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5. Liên kết với chức năng khác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33"/>
        <w:gridCol w:w="7805"/>
      </w:tblGrid>
      <w:tr>
        <w:trPr>
          <w:cantSplit/>
          <w:tblHeader/>
        </w:trPr>
        <w:tc>
          <w:tcPr>
            <w:tcW w:type="dxa" w:w="18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Chức năng</w:t>
            </w:r>
          </w:p>
        </w:tc>
        <w:tc>
          <w:tcPr>
            <w:tcW w:type="dxa" w:w="7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Quan hệ</w:t>
            </w:r>
          </w:p>
        </w:tc>
      </w:tr>
      <w:tr>
        <w:trPr>
          <w:cantSplit/>
        </w:trPr>
        <w:tc>
          <w:tcPr>
            <w:tcW w:type="dxa" w:w="18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hàng bán (ATL-12)</w:t>
            </w:r>
          </w:p>
        </w:tc>
        <w:tc>
          <w:tcPr>
            <w:tcW w:type="dxa" w:w="7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Chờ sản xuất, Đang giao, Trễ hẹn mở danh sách đã lọc (?status=PENDING / SHIPPING, ?late=1); nút Lập đơn hàng.</w:t>
            </w:r>
          </w:p>
        </w:tc>
      </w:tr>
      <w:tr>
        <w:trPr>
          <w:cantSplit/>
        </w:trPr>
        <w:tc>
          <w:tcPr>
            <w:tcW w:type="dxa" w:w="18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Tồn kho (ATL-05)</w:t>
            </w:r>
          </w:p>
        </w:tc>
        <w:tc>
          <w:tcPr>
            <w:tcW w:type="dxa" w:w="7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Dưới tồn tối thiểu, Tồn kho an toàn, Cơ cấu tồn kho mở /kho/ton-kho (?belowMin=true).</w:t>
            </w:r>
          </w:p>
        </w:tc>
      </w:tr>
      <w:tr>
        <w:trPr>
          <w:cantSplit/>
        </w:trPr>
        <w:tc>
          <w:tcPr>
            <w:tcW w:type="dxa" w:w="18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Tuổi nợ (ATL-19)</w:t>
            </w:r>
          </w:p>
        </w:tc>
        <w:tc>
          <w:tcPr>
            <w:tcW w:type="dxa" w:w="7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Quá hạn / đến hạn mở Tuổi nợ (phải thu ?loai=phai-thu hoặc phải trả).</w:t>
            </w:r>
          </w:p>
        </w:tc>
      </w:tr>
      <w:tr>
        <w:trPr>
          <w:cantSplit/>
        </w:trPr>
        <w:tc>
          <w:tcPr>
            <w:tcW w:type="dxa" w:w="18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Báo cáo (ATL-03)</w:t>
            </w:r>
          </w:p>
        </w:tc>
        <w:tc>
          <w:tcPr>
            <w:tcW w:type="dxa" w:w="7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Doanh thu, Lãi gộp, Bán dưới giá vốn, Chiết khấu, Khách ngừng mua (sẵn kỳ 60 ngày) mở đúng báo cáo.</w:t>
            </w:r>
          </w:p>
        </w:tc>
      </w:tr>
      <w:tr>
        <w:trPr>
          <w:cantSplit/>
        </w:trPr>
        <w:tc>
          <w:tcPr>
            <w:tcW w:type="dxa" w:w="18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Công nợ (ATL-15, ATL-10)</w:t>
            </w:r>
          </w:p>
        </w:tc>
        <w:tc>
          <w:tcPr>
            <w:tcW w:type="dxa" w:w="7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Tổng phải thu / phải trả mở sổ công nợ.</w:t>
            </w:r>
          </w:p>
        </w:tc>
      </w:tr>
      <w:tr>
        <w:trPr>
          <w:cantSplit/>
        </w:trPr>
        <w:tc>
          <w:tcPr>
            <w:tcW w:type="dxa" w:w="18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Phiếu thu chi (ATL-16)</w:t>
            </w:r>
          </w:p>
        </w:tc>
        <w:tc>
          <w:tcPr>
            <w:tcW w:type="dxa" w:w="7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Thẻ Dòng tiền, quỹ âm, chi vượt thu; nút Lập phiếu thu.</w:t>
            </w:r>
          </w:p>
        </w:tc>
      </w:tr>
      <w:tr>
        <w:trPr>
          <w:cantSplit/>
        </w:trPr>
        <w:tc>
          <w:tcPr>
            <w:tcW w:type="dxa" w:w="183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Đơn nhập hàng (ATL-09)</w:t>
            </w:r>
          </w:p>
        </w:tc>
        <w:tc>
          <w:tcPr>
            <w:tcW w:type="dxa" w:w="7805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Nhập hàng của kỳ, Đơn nhập chờ nhận hàng.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6. Trường hợp ngoại lệ &amp; thông báo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47"/>
        <w:gridCol w:w="6791"/>
      </w:tblGrid>
      <w:tr>
        <w:trPr>
          <w:cantSplit/>
          <w:tblHeader/>
        </w:trPr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Tình huống</w:t>
            </w:r>
          </w:p>
        </w:tc>
        <w:tc>
          <w:tcPr>
            <w:tcW w:type="dxa" w:w="67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9E2F3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b/>
                <w:bCs/>
                <w:sz w:val="19"/>
                <w:szCs w:val="19"/>
              </w:rPr>
              <w:t xml:space="preserve">Hệ thống xử lý</w:t>
            </w:r>
          </w:p>
        </w:tc>
      </w:tr>
      <w:tr>
        <w:trPr>
          <w:cantSplit/>
        </w:trPr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có vấn đề nào</w:t>
            </w:r>
          </w:p>
        </w:tc>
        <w:tc>
          <w:tcPr>
            <w:tcW w:type="dxa" w:w="67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"Chưa phát hiện vấn đề nào trong kỳ đang xem."; mọi thẻ ghi Ổn.</w:t>
            </w:r>
          </w:p>
        </w:tc>
      </w:tr>
      <w:tr>
        <w:trPr>
          <w:cantSplit/>
        </w:trPr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Kỳ chưa có doanh thu</w:t>
            </w:r>
          </w:p>
        </w:tc>
        <w:tc>
          <w:tcPr>
            <w:tcW w:type="dxa" w:w="67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Biểu đồ hiện trạng thái rỗng; % so sánh ẩn nếu kỳ trước bằng 0.</w:t>
            </w:r>
          </w:p>
        </w:tc>
      </w:tr>
      <w:tr>
        <w:trPr>
          <w:cantSplit/>
        </w:trPr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Không có quyền xem lợi nhuận / công nợ / giá trị tồn</w:t>
            </w:r>
          </w:p>
        </w:tc>
        <w:tc>
          <w:tcPr>
            <w:tcW w:type="dxa" w:w="67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Máy chủ không gửi các số đó; thẻ Lợi nhuận chỉ còn chiết khấu, thẻ Công nợ và Cơ cấu tồn kho không hiện, biểu đồ 12 tháng bỏ cột nhập hàng / lãi gộp.</w:t>
            </w:r>
          </w:p>
        </w:tc>
      </w:tr>
      <w:tr>
        <w:trPr>
          <w:cantSplit/>
        </w:trPr>
        <w:tc>
          <w:tcPr>
            <w:tcW w:type="dxa" w:w="2847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Tải số liệu lỗi</w:t>
            </w:r>
          </w:p>
        </w:tc>
        <w:tc>
          <w:tcPr>
            <w:tcW w:type="dxa" w:w="6791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line="270"/>
            </w:pPr>
            <w:r>
              <w:rPr>
                <w:rFonts w:ascii="Arial" w:cs="Arial" w:eastAsia="Arial" w:hAnsi="Arial"/>
                <w:sz w:val="19"/>
                <w:szCs w:val="19"/>
              </w:rPr>
              <w:t xml:space="preserve">Thông báo lỗi ở đầu trang, có thể chọn lại kỳ để tải lại.</w:t>
            </w:r>
          </w:p>
        </w:tc>
      </w:tr>
    </w:tbl>
    <w:p>
      <w:pPr>
        <w:spacing w:after="60"/>
      </w:pPr>
    </w:p>
    <w:p>
      <w:pPr>
        <w:pStyle w:val="Heading1"/>
        <w:keepNext/>
        <w:spacing w:after="120" w:before="320"/>
      </w:pPr>
      <w:r>
        <w:rPr>
          <w:rFonts w:ascii="Arial" w:cs="Arial" w:eastAsia="Arial" w:hAnsi="Arial"/>
          <w:b/>
          <w:bCs/>
          <w:color w:val="1F3864"/>
          <w:sz w:val="28"/>
          <w:szCs w:val="28"/>
        </w:rPr>
        <w:t xml:space="preserve">7. Ghi chú &amp; giới hạn hiện tại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Ngưỡng của "Cần theo dõi" (5 điểm, 10%, 20%, 7 ngày, 60 ngày) là giá trị đặt sẵn trong chương trình; sau này nên cho chỉnh trong Thiết lập.</w:t>
      </w:r>
    </w:p>
    <w:p>
      <w:pPr>
        <w:pStyle w:val="ListParagraph"/>
        <w:numPr>
          <w:ilvl w:val="0"/>
          <w:numId w:val="1"/>
        </w:numPr>
        <w:spacing w:after="60" w:line="290"/>
      </w:pPr>
      <w:r>
        <w:rPr>
          <w:rFonts w:ascii="Arial" w:cs="Arial" w:eastAsia="Arial" w:hAnsi="Arial"/>
          <w:sz w:val="21"/>
          <w:szCs w:val="21"/>
        </w:rPr>
        <w:t xml:space="preserve">Dữ liệu được lưu ở máy chủ (cơ sở dữ liệu PostgreSQL) và đọc / ghi qua API; các quy tắc nghiệp vụ trong tài liệu này được áp ở máy chủ, giao diện báo lỗi sớm cho người dùng. Mỗi thao tác ghi để lại một dòng Nhật ký hoạt động (ATL-27).</w:t>
      </w:r>
    </w:p>
    <w:sectPr>
      <w:headerReference w:type="default" r:id="rId6"/>
      <w:footerReference w:type="default" r:id="rId7"/>
      <w:pgSz w:w="11906" w:h="16838" w:orient="portrait"/>
      <w:pgMar w:top="1300" w:right="1134" w:bottom="1200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r="http://schemas.openxmlformats.org/officeDocument/2006/relationships" xmlns:w="http://schemas.openxmlformats.org/wordprocessingml/2006/main">
  <w:p>
    <w:pPr>
      <w:jc w:val="center"/>
    </w:pPr>
    <w:r>
      <w:rPr>
        <w:rFonts w:ascii="Arial" w:cs="Arial" w:eastAsia="Arial" w:hAnsi="Arial"/>
        <w:color w:val="7F7F7F"/>
        <w:sz w:val="17"/>
        <w:szCs w:val="17"/>
      </w:rPr>
      <w:t xml:space="preserve">Trang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PAGE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  <w:r>
      <w:rPr>
        <w:rFonts w:ascii="Arial" w:cs="Arial" w:eastAsia="Arial" w:hAnsi="Arial"/>
        <w:color w:val="7F7F7F"/>
        <w:sz w:val="17"/>
        <w:szCs w:val="17"/>
      </w:rPr>
      <w:t xml:space="preserve"> / </w:t>
    </w:r>
    <w:r>
      <w:rPr>
        <w:rFonts w:ascii="Arial" w:cs="Arial" w:eastAsia="Arial" w:hAnsi="Arial"/>
        <w:color w:val="7F7F7F"/>
        <w:sz w:val="17"/>
        <w:szCs w:val="17"/>
      </w:rPr>
      <w:fldChar w:fldCharType="begin"/>
    </w:r>
    <w:r>
      <w:rPr>
        <w:rFonts w:ascii="Arial" w:cs="Arial" w:eastAsia="Arial" w:hAnsi="Arial"/>
        <w:color w:val="7F7F7F"/>
        <w:sz w:val="17"/>
        <w:szCs w:val="17"/>
      </w:rPr>
      <w:instrText xml:space="preserve">NUMPAGES</w:instrText>
    </w:r>
    <w:r>
      <w:rPr>
        <w:rFonts w:ascii="Arial" w:cs="Arial" w:eastAsia="Arial" w:hAnsi="Arial"/>
        <w:color w:val="7F7F7F"/>
        <w:sz w:val="17"/>
        <w:szCs w:val="17"/>
      </w:rPr>
      <w:fldChar w:fldCharType="separate"/>
    </w:r>
    <w:r>
      <w:rPr>
        <w:rFonts w:ascii="Arial" w:cs="Arial" w:eastAsia="Arial" w:hAnsi="Arial"/>
        <w:color w:val="7F7F7F"/>
        <w:sz w:val="17"/>
        <w:szCs w:val="17"/>
      </w:rPr>
      <w:t>1</w:t>
    </w:r>
    <w:r>
      <w:rPr>
        <w:rFonts w:ascii="Arial" w:cs="Arial" w:eastAsia="Arial" w:hAnsi="Arial"/>
        <w:color w:val="7F7F7F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r="http://schemas.openxmlformats.org/officeDocument/2006/relationships" xmlns:w="http://schemas.openxmlformats.org/wordprocessingml/2006/main">
  <w:p>
    <w:pPr>
      <w:pBdr>
        <w:bottom w:val="single" w:color="A6A6A6" w:sz="6" w:space="2"/>
      </w:pBdr>
      <w:tabs>
        <w:tab w:val="right" w:pos="9638"/>
      </w:tabs>
    </w:pPr>
    <w:r>
      <w:rPr>
        <w:rFonts w:ascii="Arial" w:cs="Arial" w:eastAsia="Arial" w:hAnsi="Arial"/>
        <w:color w:val="7F7F7F"/>
        <w:sz w:val="17"/>
        <w:szCs w:val="17"/>
      </w:rPr>
      <w:t xml:space="preserve">Ninh Trang ERP — Tài liệu Atlas</w:t>
    </w:r>
    <w:r>
      <w:rPr>
        <w:rFonts w:ascii="Arial" w:cs="Arial" w:eastAsia="Arial" w:hAnsi="Arial"/>
        <w:color w:val="7F7F7F"/>
        <w:sz w:val="17"/>
        <w:szCs w:val="17"/>
      </w:rPr>
      <w:tab/>
      <w:t xml:space="preserve">ATL-02 · Tổng quan</w:t>
    </w:r>
  </w:p>
</w:hdr>
</file>

<file path=word/numbering.xml><?xml version="1.0" encoding="utf-8"?>
<w:numbering xmlns:r="http://schemas.openxmlformats.org/officeDocument/2006/relationships" xmlns:w="http://schemas.openxmlformats.org/wordprocessingml/2006/main">
  <w:abstractNum w:abstractNumId="1">
    <w:multiLevelType w:val="singleLevel"/>
    <w:lvl w:ilvl="0">
      <w:start w:val="1"/>
      <w:numFmt w:val="bullet"/>
      <w:lvlText w:val="•"/>
      <w:lvlJc w:val="left"/>
      <w:pPr>
        <w:ind w:left="540" w:hanging="270"/>
      </w:pPr>
    </w:lvl>
  </w:abstractNum>
  <w:abstractNum w:abstractNumId="2">
    <w:multiLevelType w:val="singleLevel"/>
    <w:lvl w:ilvl="0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Arial" w:cs="Arial" w:eastAsia="Arial" w:hAnsi="Arial"/>
      <w:b/>
      <w:bCs/>
      <w:color w:val="1F3864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F5496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ATL-02 — Tổng quan</dc:title>
  <dc:creator>Ninh Trang ERP</dc:creator>
  <cp:lastModifiedBy>Ninh Trang ERP</cp:lastModifiedBy>
  <cp:revision>1</cp:revision>
  <dcterms:created xsi:type="dcterms:W3CDTF">2026-10-29T00:00:00Z</dcterms:created>
  <dcterms:modified xsi:type="dcterms:W3CDTF">2026-10-29T00:00:00Z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