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trả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doanh nghiệp còn nợ từng nhà cung cấp, hạn thanh toán, khoản quá hạn, tiền trả trước và sổ chi tiết; từ đó lập phiếu chi.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Kế toán: theo dõi, lập phiếu chi.</w:t>
      </w:r>
    </w:p>
    <w:p>
      <w:pPr>
        <w:pStyle w:val="ListParagraph"/>
        <w:numPr>
          <w:ilvl w:val="0"/>
          <w:numId w:val="1"/>
        </w:numPr>
        <w:spacing w:after="60" w:line="290"/>
      </w:pPr>
      <w:r>
        <w:rPr>
          <w:rFonts w:ascii="Arial" w:cs="Arial" w:eastAsia="Arial" w:hAnsi="Arial"/>
          <w:sz w:val="21"/>
          <w:szCs w:val="21"/>
        </w:rPr>
        <w:t xml:space="preserve">Quản lý: xem.</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lập phiếu chi cần voucher.create_payment; đối trừ chọn tay cần debt.settle.</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chi</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công nợ</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1764"/>
        <w:gridCol w:w="611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17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61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17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ở đơn nhập.</w:t>
            </w:r>
          </w:p>
        </w:tc>
        <w:tc>
          <w:tcPr>
            <w:tcW w:type="dxa" w:w="6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lần nhận là một khoản phát sinh = giá trị hàng nhận lần đó (gồm thuế); hạn = ngày nhận + số ngày được nợ của NCC. Trả lại hàng mua ghi phát sinh giảm vào ngày trả.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17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nhà cung cấp theo số dư.</w:t>
            </w:r>
          </w:p>
        </w:tc>
        <w:tc>
          <w:tcPr>
            <w:tcW w:type="dxa" w:w="6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NCC, Tên NCC,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17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6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nhập (/mua-hang/:id); có bộ lọc kỳ và in Biên bản đối chiếu.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17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NCC (nút ở đầu trang hoặc ở từng dòng).</w:t>
            </w:r>
          </w:p>
        </w:tc>
        <w:tc>
          <w:tcPr>
            <w:tcW w:type="dxa" w:w="6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chi (/thu-chi/lap/chi); lưu xong quay lại màn công nợ kèm thông báo.</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nhà cung cấp; xuất Excel; dải tuổi nợ; dòng tổng.</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Cột: Ngày, Chứng từ, Loại, Diễn giải, Phát sinh tăng, Phát sinh giảm, Đã đối trừ, Còn lại, Hạn / tình trạng, Số dư. In "Biên bản đối chiếu công nợ".</w:t>
            </w:r>
          </w:p>
        </w:tc>
      </w:tr>
    </w:tbl>
    <w:p>
      <w:pPr>
        <w:spacing w:after="60"/>
      </w:pPr>
    </w:p>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2"/>
        </w:numPr>
        <w:spacing w:after="70" w:line="290"/>
      </w:pPr>
      <w:r>
        <w:rPr>
          <w:rFonts w:ascii="Arial" w:cs="Arial" w:eastAsia="Arial" w:hAnsi="Arial"/>
          <w:b/>
          <w:bCs/>
          <w:sz w:val="21"/>
          <w:szCs w:val="21"/>
        </w:rPr>
        <w:t xml:space="preserve">Phải trả theo hàng ĐÃ NHẬN</w:t>
      </w:r>
      <w:r>
        <w:rPr>
          <w:rFonts w:ascii="Arial" w:cs="Arial" w:eastAsia="Arial" w:hAnsi="Arial"/>
          <w:sz w:val="21"/>
          <w:szCs w:val="21"/>
        </w:rPr>
        <w:t xml:space="preserve"> của đơn nhập, không phải số đặt; </w:t>
      </w:r>
      <w:r>
        <w:rPr>
          <w:rFonts w:ascii="Arial" w:cs="Arial" w:eastAsia="Arial" w:hAnsi="Arial"/>
          <w:b/>
          <w:bCs/>
          <w:sz w:val="21"/>
          <w:szCs w:val="21"/>
        </w:rPr>
        <w:t xml:space="preserve">mỗi lần nhận một khoản</w:t>
      </w:r>
      <w:r>
        <w:rPr>
          <w:rFonts w:ascii="Arial" w:cs="Arial" w:eastAsia="Arial" w:hAnsi="Arial"/>
          <w:sz w:val="21"/>
          <w:szCs w:val="21"/>
        </w:rPr>
        <w:t xml:space="preserve"> (DN0000009, DN0000009·2…) có hạn riêng. Đơn nhận trước khi có bảng đợt vẫn là một khoản như cũ.</w:t>
      </w:r>
    </w:p>
    <w:p>
      <w:pPr>
        <w:pStyle w:val="ListParagraph"/>
        <w:numPr>
          <w:ilvl w:val="0"/>
          <w:numId w:val="2"/>
        </w:numPr>
        <w:spacing w:after="70" w:line="290"/>
      </w:pPr>
      <w:r>
        <w:rPr>
          <w:rFonts w:ascii="Arial" w:cs="Arial" w:eastAsia="Arial" w:hAnsi="Arial"/>
          <w:b/>
          <w:bCs/>
          <w:sz w:val="21"/>
          <w:szCs w:val="21"/>
        </w:rPr>
        <w:t xml:space="preserve">Trả lại hàng mua</w:t>
      </w:r>
      <w:r>
        <w:rPr>
          <w:rFonts w:ascii="Arial" w:cs="Arial" w:eastAsia="Arial" w:hAnsi="Arial"/>
          <w:sz w:val="21"/>
          <w:szCs w:val="21"/>
        </w:rPr>
        <w:t xml:space="preserve"> (TLM…) là phát sinh giảm của đơn vào ngày trả.</w:t>
      </w:r>
    </w:p>
    <w:p>
      <w:pPr>
        <w:pStyle w:val="ListParagraph"/>
        <w:numPr>
          <w:ilvl w:val="0"/>
          <w:numId w:val="2"/>
        </w:numPr>
        <w:spacing w:after="70" w:line="290"/>
      </w:pP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 — đây là số hai bên cần chốt.</w:t>
      </w:r>
    </w:p>
    <w:p>
      <w:pPr>
        <w:pStyle w:val="ListParagraph"/>
        <w:numPr>
          <w:ilvl w:val="0"/>
          <w:numId w:val="2"/>
        </w:numPr>
        <w:spacing w:after="70" w:line="290"/>
      </w:pPr>
      <w:r>
        <w:rPr>
          <w:rFonts w:ascii="Arial" w:cs="Arial" w:eastAsia="Arial" w:hAnsi="Arial"/>
          <w:b/>
          <w:bCs/>
          <w:sz w:val="21"/>
          <w:szCs w:val="21"/>
        </w:rPr>
        <w:t xml:space="preserve">Đối trừ:</w:t>
      </w:r>
      <w:r>
        <w:rPr>
          <w:rFonts w:ascii="Arial" w:cs="Arial" w:eastAsia="Arial" w:hAnsi="Arial"/>
          <w:sz w:val="21"/>
          <w:szCs w:val="21"/>
        </w:rPr>
        <w:t xml:space="preserve"> phần "Chọn tay" của từng phiếu trừ đúng chứng từ đã chọn trước (chọn theo mã đơn thì trả các lần nhận của đơn, lần đến hạn sớm trước); phần còn lại (và mọi phiếu "Tự động") trừ vào khoản đến hạn sớm nhất trước, tiền phiếu cũ dùng trước (FIFO).</w:t>
      </w:r>
    </w:p>
    <w:p>
      <w:pPr>
        <w:pStyle w:val="ListParagraph"/>
        <w:numPr>
          <w:ilvl w:val="0"/>
          <w:numId w:val="2"/>
        </w:numPr>
        <w:spacing w:after="70" w:line="290"/>
      </w:pPr>
      <w:r>
        <w:rPr>
          <w:rFonts w:ascii="Arial" w:cs="Arial" w:eastAsia="Arial" w:hAnsi="Arial"/>
          <w:sz w:val="21"/>
          <w:szCs w:val="21"/>
        </w:rPr>
        <w:t xml:space="preserve">Tiền chi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w:t>
      </w:r>
    </w:p>
    <w:p>
      <w:pPr>
        <w:pStyle w:val="ListParagraph"/>
        <w:numPr>
          <w:ilvl w:val="0"/>
          <w:numId w:val="2"/>
        </w:numPr>
        <w:spacing w:after="70" w:line="290"/>
      </w:pPr>
      <w:r>
        <w:rPr>
          <w:rFonts w:ascii="Arial" w:cs="Arial" w:eastAsia="Arial" w:hAnsi="Arial"/>
          <w:sz w:val="21"/>
          <w:szCs w:val="21"/>
        </w:rPr>
        <w:t xml:space="preserve">Phiếu hoàn tiền từ đối tác (chiều ngược lại) tính như một khoản nợ — ăn vào số trả trước trước.</w:t>
      </w:r>
    </w:p>
    <w:p>
      <w:pPr>
        <w:pStyle w:val="ListParagraph"/>
        <w:numPr>
          <w:ilvl w:val="0"/>
          <w:numId w:val="2"/>
        </w:numPr>
        <w:spacing w:after="70" w:line="290"/>
      </w:pPr>
      <w:r>
        <w:rPr>
          <w:rFonts w:ascii="Arial" w:cs="Arial" w:eastAsia="Arial" w:hAnsi="Arial"/>
          <w:sz w:val="21"/>
          <w:szCs w:val="21"/>
        </w:rPr>
        <w:t xml:space="preserve">Phiếu thu chi đã huỷ không tính; công nợ tự mở lại.</w:t>
      </w:r>
    </w:p>
    <w:p>
      <w:pPr>
        <w:pStyle w:val="ListParagraph"/>
        <w:numPr>
          <w:ilvl w:val="0"/>
          <w:numId w:val="2"/>
        </w:numPr>
        <w:spacing w:after="70" w:line="290"/>
      </w:pPr>
      <w:r>
        <w:rPr>
          <w:rFonts w:ascii="Arial" w:cs="Arial" w:eastAsia="Arial" w:hAnsi="Arial"/>
          <w:sz w:val="21"/>
          <w:szCs w:val="21"/>
        </w:rPr>
        <w:t xml:space="preserve">Đối tác đã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0"/>
        <w:gridCol w:w="1334"/>
        <w:gridCol w:w="7094"/>
      </w:tblGrid>
      <w:tr>
        <w:trPr>
          <w:cantSplit/>
          <w:tblHeader/>
        </w:trPr>
        <w:tc>
          <w:tcPr>
            <w:tcW w:type="dxa" w:w="12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3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709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w:t>
            </w:r>
          </w:p>
        </w:tc>
        <w:tc>
          <w:tcPr>
            <w:tcW w:type="dxa" w:w="1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7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creditDays, nextDue, aging, items/entries.</w:t>
            </w:r>
          </w:p>
        </w:tc>
      </w:tr>
      <w:tr>
        <w:trPr>
          <w:cantSplit/>
        </w:trPr>
        <w:tc>
          <w:tcPr>
            <w:tcW w:type="dxa" w:w="1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DebtEntry</w:t>
            </w:r>
          </w:p>
        </w:tc>
        <w:tc>
          <w:tcPr>
            <w:tcW w:type="dxa" w:w="1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sổ</w:t>
            </w:r>
          </w:p>
        </w:tc>
        <w:tc>
          <w:tcPr>
            <w:tcW w:type="dxa" w:w="7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ref (mã chứng từ), date, dueDate, amount, loại PHAT_SINH / THANH_TOAN, liên kết chứng từ.</w:t>
            </w:r>
          </w:p>
        </w:tc>
      </w:tr>
    </w:tbl>
    <w:p>
      <w:pPr>
        <w:spacing w:after="60"/>
      </w:pPr>
    </w:p>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7"/>
        <w:gridCol w:w="5221"/>
      </w:tblGrid>
      <w:tr>
        <w:trPr>
          <w:cantSplit/>
          <w:tblHeader/>
        </w:trPr>
        <w:tc>
          <w:tcPr>
            <w:tcW w:type="dxa" w:w="441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522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4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5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khoản phát sinh.</w:t>
            </w:r>
          </w:p>
        </w:tc>
      </w:tr>
      <w:tr>
        <w:trPr>
          <w:cantSplit/>
        </w:trPr>
        <w:tc>
          <w:tcPr>
            <w:tcW w:type="dxa" w:w="4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5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 đối trừ công nợ.</w:t>
            </w:r>
          </w:p>
        </w:tc>
      </w:tr>
      <w:tr>
        <w:trPr>
          <w:cantSplit/>
        </w:trPr>
        <w:tc>
          <w:tcPr>
            <w:tcW w:type="dxa" w:w="4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5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theo độ trễ.</w:t>
            </w:r>
          </w:p>
        </w:tc>
      </w:tr>
      <w:tr>
        <w:trPr>
          <w:cantSplit/>
        </w:trPr>
        <w:tc>
          <w:tcPr>
            <w:tcW w:type="dxa" w:w="4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(ATL-08)</w:t>
            </w:r>
          </w:p>
        </w:tc>
        <w:tc>
          <w:tcPr>
            <w:tcW w:type="dxa" w:w="5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spacing w:after="60"/>
      </w:pPr>
    </w:p>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6052"/>
      </w:tblGrid>
      <w:tr>
        <w:trPr>
          <w:cantSplit/>
          <w:tblHeader/>
        </w:trPr>
        <w:tc>
          <w:tcPr>
            <w:tcW w:type="dxa" w:w="358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5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5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không còn nợ</w:t>
            </w:r>
          </w:p>
        </w:tc>
        <w:tc>
          <w:tcPr>
            <w:tcW w:type="dxa" w:w="60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spacing w:after="60"/>
      </w:pPr>
    </w:p>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1"/>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1"/>
        </w:numPr>
        <w:spacing w:after="60" w:line="290"/>
      </w:pPr>
      <w:r>
        <w:rPr>
          <w:rFonts w:ascii="Arial" w:cs="Arial" w:eastAsia="Arial" w:hAnsi="Arial"/>
          <w:sz w:val="21"/>
          <w:szCs w:val="21"/>
        </w:rPr>
        <w:t xml:space="preserve">Từ sổ chi tiết của một đối tác: Bên A / Bên B, kỳ đối chiếu, bảng phát sinh có số dư đầu kỳ, cộng phát sinh, số dư cuối kỳ; đoạn xác nhận số liệu; ký đại diện Bên A, Bên B (đóng dấu).</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Màu số: số dương (nợ) và âm (trả trước) theo quy ước màu tiền của hệ thống.</w:t>
      </w:r>
    </w:p>
    <w:p>
      <w:pPr>
        <w:pStyle w:val="ListParagraph"/>
        <w:numPr>
          <w:ilvl w:val="0"/>
          <w:numId w:val="1"/>
        </w:numPr>
        <w:spacing w:after="60" w:line="290"/>
      </w:pPr>
      <w:r>
        <w:rPr>
          <w:rFonts w:ascii="Arial" w:cs="Arial" w:eastAsia="Arial" w:hAnsi="Arial"/>
          <w:sz w:val="21"/>
          <w:szCs w:val="21"/>
        </w:rPr>
        <w:t xml:space="preserve">Công nợ và số dư tính khi đọc (không lưu cột số dư), đọc lại mỗi khi đơn nhập, phiếu thu chi hoặc NCC thay đổi.</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ATL-10 · Công nợ phải trả</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ATL-10 — Công nợ phải trả</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