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r="http://schemas.openxmlformats.org/officeDocument/2006/relationships" xmlns:w="http://schemas.openxmlformats.org/wordprocessingml/2006/main">
  <w:body>
    <w:p>
      <w:pPr>
        <w:spacing w:after="40"/>
      </w:pPr>
      <w:r>
        <w:rPr>
          <w:rFonts w:ascii="Arial" w:cs="Arial" w:eastAsia="Arial" w:hAnsi="Arial"/>
          <w:b/>
          <w:bCs/>
          <w:color w:val="7F7F7F"/>
          <w:sz w:val="18"/>
          <w:szCs w:val="18"/>
        </w:rPr>
        <w:t xml:space="preserve">TÀI LIỆU ATLAS — CHỨC NĂNG</w:t>
      </w:r>
    </w:p>
    <w:p>
      <w:pPr>
        <w:spacing w:after="120"/>
      </w:pPr>
      <w:r>
        <w:rPr>
          <w:rFonts w:ascii="Arial" w:cs="Arial" w:eastAsia="Arial" w:hAnsi="Arial"/>
          <w:b/>
          <w:bCs/>
          <w:color w:val="1F3864"/>
          <w:sz w:val="40"/>
          <w:szCs w:val="40"/>
        </w:rPr>
        <w:t xml:space="preserve">Công nợ phải thu</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00"/>
        <w:gridCol w:w="7238"/>
      </w:tblGrid>
      <w:tr>
        <w:tc>
          <w:tcPr>
            <w:tcW w:type="dxa" w:w="2400"/>
            <w:tcBorders>
              <w:top w:val="single" w:color="A6A6A6" w:sz="4"/>
              <w:left w:val="single" w:color="A6A6A6" w:sz="4"/>
              <w:bottom w:val="single" w:color="A6A6A6" w:sz="4"/>
              <w:right w:val="single" w:color="A6A6A6" w:sz="4"/>
            </w:tcBorders>
            <w:shd w:fill="F2F2F2" w:color="auto" w:val="clear"/>
            <w:tcMar>
              <w:top w:type="dxa" w:w="60"/>
              <w:left w:type="dxa" w:w="100"/>
              <w:bottom w:type="dxa" w:w="60"/>
              <w:right w:type="dxa" w:w="100"/>
            </w:tcMar>
            <w:vAlign w:val="top"/>
          </w:tcPr>
          <w:p>
            <w:pPr>
              <w:spacing w:after="20" w:line="270"/>
            </w:pPr>
            <w:r>
              <w:rPr>
                <w:rFonts w:ascii="Arial" w:cs="Arial" w:eastAsia="Arial" w:hAnsi="Arial"/>
                <w:b/>
                <w:bCs/>
                <w:sz w:val="19"/>
                <w:szCs w:val="19"/>
              </w:rPr>
              <w:t xml:space="preserve">Mã tài liệu</w:t>
            </w:r>
          </w:p>
        </w:tc>
        <w:tc>
          <w:tcPr>
            <w:tcW w:type="dxa" w:w="723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ATL-15</w:t>
            </w:r>
          </w:p>
        </w:tc>
      </w:tr>
      <w:tr>
        <w:tc>
          <w:tcPr>
            <w:tcW w:type="dxa" w:w="2400"/>
            <w:tcBorders>
              <w:top w:val="single" w:color="A6A6A6" w:sz="4"/>
              <w:left w:val="single" w:color="A6A6A6" w:sz="4"/>
              <w:bottom w:val="single" w:color="A6A6A6" w:sz="4"/>
              <w:right w:val="single" w:color="A6A6A6" w:sz="4"/>
            </w:tcBorders>
            <w:shd w:fill="F2F2F2" w:color="auto" w:val="clear"/>
            <w:tcMar>
              <w:top w:type="dxa" w:w="60"/>
              <w:left w:type="dxa" w:w="100"/>
              <w:bottom w:type="dxa" w:w="60"/>
              <w:right w:type="dxa" w:w="100"/>
            </w:tcMar>
            <w:vAlign w:val="top"/>
          </w:tcPr>
          <w:p>
            <w:pPr>
              <w:spacing w:after="20" w:line="270"/>
            </w:pPr>
            <w:r>
              <w:rPr>
                <w:rFonts w:ascii="Arial" w:cs="Arial" w:eastAsia="Arial" w:hAnsi="Arial"/>
                <w:b/>
                <w:bCs/>
                <w:sz w:val="19"/>
                <w:szCs w:val="19"/>
              </w:rPr>
              <w:t xml:space="preserve">Phân hệ</w:t>
            </w:r>
          </w:p>
        </w:tc>
        <w:tc>
          <w:tcPr>
            <w:tcW w:type="dxa" w:w="723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Bán hàng</w:t>
            </w:r>
          </w:p>
        </w:tc>
      </w:tr>
      <w:tr>
        <w:tc>
          <w:tcPr>
            <w:tcW w:type="dxa" w:w="2400"/>
            <w:tcBorders>
              <w:top w:val="single" w:color="A6A6A6" w:sz="4"/>
              <w:left w:val="single" w:color="A6A6A6" w:sz="4"/>
              <w:bottom w:val="single" w:color="A6A6A6" w:sz="4"/>
              <w:right w:val="single" w:color="A6A6A6" w:sz="4"/>
            </w:tcBorders>
            <w:shd w:fill="F2F2F2" w:color="auto" w:val="clear"/>
            <w:tcMar>
              <w:top w:type="dxa" w:w="60"/>
              <w:left w:type="dxa" w:w="100"/>
              <w:bottom w:type="dxa" w:w="60"/>
              <w:right w:type="dxa" w:w="100"/>
            </w:tcMar>
            <w:vAlign w:val="top"/>
          </w:tcPr>
          <w:p>
            <w:pPr>
              <w:spacing w:after="20" w:line="270"/>
            </w:pPr>
            <w:r>
              <w:rPr>
                <w:rFonts w:ascii="Arial" w:cs="Arial" w:eastAsia="Arial" w:hAnsi="Arial"/>
                <w:b/>
                <w:bCs/>
                <w:sz w:val="19"/>
                <w:szCs w:val="19"/>
              </w:rPr>
              <w:t xml:space="preserve">Đường dẫn</w:t>
            </w:r>
          </w:p>
        </w:tc>
        <w:tc>
          <w:tcPr>
            <w:tcW w:type="dxa" w:w="723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/cong-no/khach-hang</w:t>
            </w:r>
          </w:p>
        </w:tc>
      </w:tr>
      <w:tr>
        <w:tc>
          <w:tcPr>
            <w:tcW w:type="dxa" w:w="2400"/>
            <w:tcBorders>
              <w:top w:val="single" w:color="A6A6A6" w:sz="4"/>
              <w:left w:val="single" w:color="A6A6A6" w:sz="4"/>
              <w:bottom w:val="single" w:color="A6A6A6" w:sz="4"/>
              <w:right w:val="single" w:color="A6A6A6" w:sz="4"/>
            </w:tcBorders>
            <w:shd w:fill="F2F2F2" w:color="auto" w:val="clear"/>
            <w:tcMar>
              <w:top w:type="dxa" w:w="60"/>
              <w:left w:type="dxa" w:w="100"/>
              <w:bottom w:type="dxa" w:w="60"/>
              <w:right w:type="dxa" w:w="100"/>
            </w:tcMar>
            <w:vAlign w:val="top"/>
          </w:tcPr>
          <w:p>
            <w:pPr>
              <w:spacing w:after="20" w:line="270"/>
            </w:pPr>
            <w:r>
              <w:rPr>
                <w:rFonts w:ascii="Arial" w:cs="Arial" w:eastAsia="Arial" w:hAnsi="Arial"/>
                <w:b/>
                <w:bCs/>
                <w:sz w:val="19"/>
                <w:szCs w:val="19"/>
              </w:rPr>
              <w:t xml:space="preserve">Phiên bản</w:t>
            </w:r>
          </w:p>
        </w:tc>
        <w:tc>
          <w:tcPr>
            <w:tcW w:type="dxa" w:w="723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1.2 — 29/10/2026</w:t>
            </w:r>
          </w:p>
        </w:tc>
      </w:tr>
      <w:tr>
        <w:tc>
          <w:tcPr>
            <w:tcW w:type="dxa" w:w="2400"/>
            <w:tcBorders>
              <w:top w:val="single" w:color="A6A6A6" w:sz="4"/>
              <w:left w:val="single" w:color="A6A6A6" w:sz="4"/>
              <w:bottom w:val="single" w:color="A6A6A6" w:sz="4"/>
              <w:right w:val="single" w:color="A6A6A6" w:sz="4"/>
            </w:tcBorders>
            <w:shd w:fill="F2F2F2" w:color="auto" w:val="clear"/>
            <w:tcMar>
              <w:top w:type="dxa" w:w="60"/>
              <w:left w:type="dxa" w:w="100"/>
              <w:bottom w:type="dxa" w:w="60"/>
              <w:right w:type="dxa" w:w="100"/>
            </w:tcMar>
            <w:vAlign w:val="top"/>
          </w:tcPr>
          <w:p>
            <w:pPr>
              <w:spacing w:after="20" w:line="270"/>
            </w:pPr>
            <w:r>
              <w:rPr>
                <w:rFonts w:ascii="Arial" w:cs="Arial" w:eastAsia="Arial" w:hAnsi="Arial"/>
                <w:b/>
                <w:bCs/>
                <w:sz w:val="19"/>
                <w:szCs w:val="19"/>
              </w:rPr>
              <w:t xml:space="preserve">Hệ thống</w:t>
            </w:r>
          </w:p>
        </w:tc>
        <w:tc>
          <w:tcPr>
            <w:tcW w:type="dxa" w:w="723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Ninh Trang ERP — quản lý bán hàng, kho, sản xuất, giao hàng, công nợ</w:t>
            </w:r>
          </w:p>
        </w:tc>
      </w:tr>
    </w:tbl>
    <w:p>
      <w:pPr>
        <w:pStyle w:val="Heading1"/>
        <w:keepNext/>
        <w:spacing w:after="120" w:before="320"/>
      </w:pPr>
      <w:r>
        <w:rPr>
          <w:rFonts w:ascii="Arial" w:cs="Arial" w:eastAsia="Arial" w:hAnsi="Arial"/>
          <w:b/>
          <w:bCs/>
          <w:color w:val="1F3864"/>
          <w:sz w:val="28"/>
          <w:szCs w:val="28"/>
        </w:rPr>
        <w:t xml:space="preserve">1. Tổng quan</w:t>
      </w:r>
    </w:p>
    <w:p>
      <w:pPr>
        <w:pStyle w:val="Heading2"/>
        <w:keepNext/>
        <w:spacing w:after="80" w:before="200"/>
      </w:pPr>
      <w:r>
        <w:rPr>
          <w:rFonts w:ascii="Arial" w:cs="Arial" w:eastAsia="Arial" w:hAnsi="Arial"/>
          <w:b/>
          <w:bCs/>
          <w:color w:val="2F5496"/>
          <w:sz w:val="24"/>
          <w:szCs w:val="24"/>
        </w:rPr>
        <w:t xml:space="preserve">Mục đích</w:t>
      </w:r>
    </w:p>
    <w:p>
      <w:pPr>
        <w:spacing w:after="100" w:before="0" w:line="300"/>
      </w:pPr>
      <w:r>
        <w:rPr>
          <w:rFonts w:ascii="Arial" w:cs="Arial" w:eastAsia="Arial" w:hAnsi="Arial"/>
          <w:sz w:val="21"/>
          <w:szCs w:val="21"/>
        </w:rPr>
        <w:t xml:space="preserve">Theo dõi số tiền khách còn nợ, hạn thanh toán, khoản quá hạn, tiền khách trả trước, sổ chi tiết từng khách; lập phiếu thu, in biên bản đối chiếu và thông báo công nợ có mã VietQR.</w:t>
      </w:r>
    </w:p>
    <w:p>
      <w:pPr>
        <w:pStyle w:val="Heading2"/>
        <w:keepNext/>
        <w:spacing w:after="80" w:before="200"/>
      </w:pPr>
      <w:r>
        <w:rPr>
          <w:rFonts w:ascii="Arial" w:cs="Arial" w:eastAsia="Arial" w:hAnsi="Arial"/>
          <w:b/>
          <w:bCs/>
          <w:color w:val="2F5496"/>
          <w:sz w:val="24"/>
          <w:szCs w:val="24"/>
        </w:rPr>
        <w:t xml:space="preserve">Đối tượng sử dụng</w:t>
      </w:r>
    </w:p>
    <w:p>
      <w:pPr>
        <w:pStyle w:val="ListParagraph"/>
        <w:numPr>
          <w:ilvl w:val="0"/>
          <w:numId w:val="1"/>
        </w:numPr>
        <w:spacing w:after="60" w:line="290"/>
      </w:pPr>
      <w:r>
        <w:rPr>
          <w:rFonts w:ascii="Arial" w:cs="Arial" w:eastAsia="Arial" w:hAnsi="Arial"/>
          <w:sz w:val="21"/>
          <w:szCs w:val="21"/>
        </w:rPr>
        <w:t xml:space="preserve">Kế toán: theo dõi, lập phiếu thu.</w:t>
      </w:r>
    </w:p>
    <w:p>
      <w:pPr>
        <w:pStyle w:val="ListParagraph"/>
        <w:numPr>
          <w:ilvl w:val="0"/>
          <w:numId w:val="1"/>
        </w:numPr>
        <w:spacing w:after="60" w:line="290"/>
      </w:pPr>
      <w:r>
        <w:rPr>
          <w:rFonts w:ascii="Arial" w:cs="Arial" w:eastAsia="Arial" w:hAnsi="Arial"/>
          <w:sz w:val="21"/>
          <w:szCs w:val="21"/>
        </w:rPr>
        <w:t xml:space="preserve">Sale / Quản lý: xem công nợ khách của mình.</w:t>
      </w:r>
    </w:p>
    <w:p>
      <w:pPr>
        <w:pStyle w:val="Heading2"/>
        <w:keepNext/>
        <w:spacing w:after="80" w:before="200"/>
      </w:pPr>
      <w:r>
        <w:rPr>
          <w:rFonts w:ascii="Arial" w:cs="Arial" w:eastAsia="Arial" w:hAnsi="Arial"/>
          <w:b/>
          <w:bCs/>
          <w:color w:val="2F5496"/>
          <w:sz w:val="24"/>
          <w:szCs w:val="24"/>
        </w:rPr>
        <w:t xml:space="preserve">Quyền liên quan</w:t>
      </w:r>
    </w:p>
    <w:p>
      <w:pPr>
        <w:spacing w:after="100" w:before="0" w:line="300"/>
      </w:pPr>
      <w:r>
        <w:rPr>
          <w:rFonts w:ascii="Arial" w:cs="Arial" w:eastAsia="Arial" w:hAnsi="Arial"/>
          <w:sz w:val="21"/>
          <w:szCs w:val="21"/>
        </w:rPr>
        <w:t xml:space="preserve">debt.view; voucher.create_receipt để lập phiếu thu; debt.settle để đối trừ chọn tay; debt.remind để ghi nhắc nợ (ATL-31).</w:t>
      </w:r>
    </w:p>
    <w:p>
      <w:pPr>
        <w:spacing w:after="100" w:before="0" w:line="300"/>
      </w:pPr>
      <w:r>
        <w:rPr>
          <w:rFonts w:ascii="Arial" w:cs="Arial" w:eastAsia="Arial" w:hAnsi="Arial"/>
          <w:i/>
          <w:iCs/>
          <w:sz w:val="19"/>
          <w:szCs w:val="19"/>
        </w:rPr>
        <w:t xml:space="preserve">Lưu ý: quyền được kiểm tra ở cả hai nơi — giao diện ẩn trang, mục menu và nút mà chức vụ không có quyền; máy chủ kiểm tra lại ở mọi API (thiếu quyền thì báo "Chức vụ của bạn chưa có quyền…"). Danh mục quyền: ATL-23.</w:t>
      </w:r>
    </w:p>
    <w:p>
      <w:pPr>
        <w:pStyle w:val="Heading1"/>
        <w:keepNext/>
        <w:spacing w:after="120" w:before="320"/>
      </w:pPr>
      <w:r>
        <w:rPr>
          <w:rFonts w:ascii="Arial" w:cs="Arial" w:eastAsia="Arial" w:hAnsi="Arial"/>
          <w:b/>
          <w:bCs/>
          <w:color w:val="1F3864"/>
          <w:sz w:val="28"/>
          <w:szCs w:val="28"/>
        </w:rPr>
        <w:t xml:space="preserve">2. Quy trình (workflow)</w:t>
      </w:r>
    </w:p>
    <w:tbl>
      <w:tblPr>
        <w:tblW w:type="dxa" w:w="9636"/>
        <w:tblBorders>
          <w:top w:val="single" w:color="auto" w:sz="4"/>
          <w:left w:val="single" w:color="auto" w:sz="4"/>
          <w:bottom w:val="single" w:color="auto" w:sz="4"/>
          <w:right w:val="single" w:color="auto" w:sz="4"/>
          <w:insideH w:val="single" w:color="auto" w:sz="4"/>
          <w:insideV w:val="single" w:color="auto" w:sz="4"/>
        </w:tblBorders>
      </w:tblPr>
      <w:tblGrid>
        <w:gridCol w:w="2100"/>
        <w:gridCol w:w="412"/>
        <w:gridCol w:w="2100"/>
        <w:gridCol w:w="412"/>
        <w:gridCol w:w="2100"/>
        <w:gridCol w:w="412"/>
        <w:gridCol w:w="2100"/>
      </w:tblGrid>
      <w:tr>
        <w:trPr>
          <w:cantSplit/>
        </w:trPr>
        <w:tc>
          <w:tcPr>
            <w:tcW w:type="dxa" w:w="2100"/>
            <w:tcBorders>
              <w:top w:val="single" w:color="A6A6A6" w:sz="4"/>
              <w:left w:val="single" w:color="A6A6A6" w:sz="4"/>
              <w:bottom w:val="single" w:color="A6A6A6" w:sz="4"/>
              <w:right w:val="single" w:color="A6A6A6" w:sz="4"/>
            </w:tcBorders>
            <w:shd w:fill="DEEAF6" w:color="auto" w:val="clear"/>
            <w:tcMar>
              <w:top w:type="dxa" w:w="60"/>
              <w:left w:type="dxa" w:w="100"/>
              <w:bottom w:type="dxa" w:w="60"/>
              <w:right w:type="dxa" w:w="100"/>
            </w:tcMar>
            <w:vAlign w:val="center"/>
          </w:tcPr>
          <w:p>
            <w:pPr>
              <w:spacing w:after="20" w:line="270"/>
              <w:jc w:val="center"/>
            </w:pPr>
            <w:r>
              <w:rPr>
                <w:rFonts w:ascii="Arial" w:cs="Arial" w:eastAsia="Arial" w:hAnsi="Arial"/>
                <w:b/>
                <w:bCs/>
                <w:sz w:val="18"/>
                <w:szCs w:val="18"/>
              </w:rPr>
              <w:t xml:space="preserve">Giao hàng (công nợ phát sinh)</w:t>
            </w:r>
          </w:p>
        </w:tc>
        <w:tc>
          <w:tcPr>
            <w:tcW w:type="dxa" w:w="412"/>
            <w:tcBorders>
              <w:top w:val="none" w:color="FFFFFF" w:sz="0"/>
              <w:left w:val="none" w:color="FFFFFF" w:sz="0"/>
              <w:bottom w:val="none" w:color="FFFFFF" w:sz="0"/>
              <w:right w:val="none" w:color="FFFFFF" w:sz="0"/>
            </w:tcBorders>
            <w:tcMar>
              <w:top w:type="dxa" w:w="60"/>
              <w:left w:type="dxa" w:w="100"/>
              <w:bottom w:type="dxa" w:w="60"/>
              <w:right w:type="dxa" w:w="100"/>
            </w:tcMar>
            <w:vAlign w:val="center"/>
          </w:tcPr>
          <w:p>
            <w:pPr>
              <w:spacing w:after="20" w:line="270"/>
              <w:jc w:val="center"/>
            </w:pPr>
            <w:r>
              <w:rPr>
                <w:rFonts w:ascii="Arial" w:cs="Arial" w:eastAsia="Arial" w:hAnsi="Arial"/>
                <w:b/>
                <w:bCs/>
                <w:sz w:val="26"/>
                <w:szCs w:val="26"/>
              </w:rPr>
              <w:t xml:space="preserve">→</w:t>
            </w:r>
          </w:p>
        </w:tc>
        <w:tc>
          <w:tcPr>
            <w:tcW w:type="dxa" w:w="2100"/>
            <w:tcBorders>
              <w:top w:val="single" w:color="A6A6A6" w:sz="4"/>
              <w:left w:val="single" w:color="A6A6A6" w:sz="4"/>
              <w:bottom w:val="single" w:color="A6A6A6" w:sz="4"/>
              <w:right w:val="single" w:color="A6A6A6" w:sz="4"/>
            </w:tcBorders>
            <w:shd w:fill="DEEAF6" w:color="auto" w:val="clear"/>
            <w:tcMar>
              <w:top w:type="dxa" w:w="60"/>
              <w:left w:type="dxa" w:w="100"/>
              <w:bottom w:type="dxa" w:w="60"/>
              <w:right w:type="dxa" w:w="100"/>
            </w:tcMar>
            <w:vAlign w:val="center"/>
          </w:tcPr>
          <w:p>
            <w:pPr>
              <w:spacing w:after="20" w:line="270"/>
              <w:jc w:val="center"/>
            </w:pPr>
            <w:r>
              <w:rPr>
                <w:rFonts w:ascii="Arial" w:cs="Arial" w:eastAsia="Arial" w:hAnsi="Arial"/>
                <w:b/>
                <w:bCs/>
                <w:sz w:val="18"/>
                <w:szCs w:val="18"/>
              </w:rPr>
              <w:t xml:space="preserve">Theo dõi số dư &amp; hạn</w:t>
            </w:r>
          </w:p>
        </w:tc>
        <w:tc>
          <w:tcPr>
            <w:tcW w:type="dxa" w:w="412"/>
            <w:tcBorders>
              <w:top w:val="none" w:color="FFFFFF" w:sz="0"/>
              <w:left w:val="none" w:color="FFFFFF" w:sz="0"/>
              <w:bottom w:val="none" w:color="FFFFFF" w:sz="0"/>
              <w:right w:val="none" w:color="FFFFFF" w:sz="0"/>
            </w:tcBorders>
            <w:tcMar>
              <w:top w:type="dxa" w:w="60"/>
              <w:left w:type="dxa" w:w="100"/>
              <w:bottom w:type="dxa" w:w="60"/>
              <w:right w:type="dxa" w:w="100"/>
            </w:tcMar>
            <w:vAlign w:val="center"/>
          </w:tcPr>
          <w:p>
            <w:pPr>
              <w:spacing w:after="20" w:line="270"/>
              <w:jc w:val="center"/>
            </w:pPr>
            <w:r>
              <w:rPr>
                <w:rFonts w:ascii="Arial" w:cs="Arial" w:eastAsia="Arial" w:hAnsi="Arial"/>
                <w:b/>
                <w:bCs/>
                <w:sz w:val="26"/>
                <w:szCs w:val="26"/>
              </w:rPr>
              <w:t xml:space="preserve">→</w:t>
            </w:r>
          </w:p>
        </w:tc>
        <w:tc>
          <w:tcPr>
            <w:tcW w:type="dxa" w:w="2100"/>
            <w:tcBorders>
              <w:top w:val="single" w:color="A6A6A6" w:sz="4"/>
              <w:left w:val="single" w:color="A6A6A6" w:sz="4"/>
              <w:bottom w:val="single" w:color="A6A6A6" w:sz="4"/>
              <w:right w:val="single" w:color="A6A6A6" w:sz="4"/>
            </w:tcBorders>
            <w:shd w:fill="DEEAF6" w:color="auto" w:val="clear"/>
            <w:tcMar>
              <w:top w:type="dxa" w:w="60"/>
              <w:left w:type="dxa" w:w="100"/>
              <w:bottom w:type="dxa" w:w="60"/>
              <w:right w:type="dxa" w:w="100"/>
            </w:tcMar>
            <w:vAlign w:val="center"/>
          </w:tcPr>
          <w:p>
            <w:pPr>
              <w:spacing w:after="20" w:line="270"/>
              <w:jc w:val="center"/>
            </w:pPr>
            <w:r>
              <w:rPr>
                <w:rFonts w:ascii="Arial" w:cs="Arial" w:eastAsia="Arial" w:hAnsi="Arial"/>
                <w:b/>
                <w:bCs/>
                <w:sz w:val="18"/>
                <w:szCs w:val="18"/>
              </w:rPr>
              <w:t xml:space="preserve">Lập phiếu thu</w:t>
            </w:r>
          </w:p>
        </w:tc>
        <w:tc>
          <w:tcPr>
            <w:tcW w:type="dxa" w:w="412"/>
            <w:tcBorders>
              <w:top w:val="none" w:color="FFFFFF" w:sz="0"/>
              <w:left w:val="none" w:color="FFFFFF" w:sz="0"/>
              <w:bottom w:val="none" w:color="FFFFFF" w:sz="0"/>
              <w:right w:val="none" w:color="FFFFFF" w:sz="0"/>
            </w:tcBorders>
            <w:tcMar>
              <w:top w:type="dxa" w:w="60"/>
              <w:left w:type="dxa" w:w="100"/>
              <w:bottom w:type="dxa" w:w="60"/>
              <w:right w:type="dxa" w:w="100"/>
            </w:tcMar>
            <w:vAlign w:val="center"/>
          </w:tcPr>
          <w:p>
            <w:pPr>
              <w:spacing w:after="20" w:line="270"/>
              <w:jc w:val="center"/>
            </w:pPr>
            <w:r>
              <w:rPr>
                <w:rFonts w:ascii="Arial" w:cs="Arial" w:eastAsia="Arial" w:hAnsi="Arial"/>
                <w:b/>
                <w:bCs/>
                <w:sz w:val="26"/>
                <w:szCs w:val="26"/>
              </w:rPr>
              <w:t xml:space="preserve">→</w:t>
            </w:r>
          </w:p>
        </w:tc>
        <w:tc>
          <w:tcPr>
            <w:tcW w:type="dxa" w:w="2100"/>
            <w:tcBorders>
              <w:top w:val="single" w:color="A6A6A6" w:sz="4"/>
              <w:left w:val="single" w:color="A6A6A6" w:sz="4"/>
              <w:bottom w:val="single" w:color="A6A6A6" w:sz="4"/>
              <w:right w:val="single" w:color="A6A6A6" w:sz="4"/>
            </w:tcBorders>
            <w:shd w:fill="DEEAF6" w:color="auto" w:val="clear"/>
            <w:tcMar>
              <w:top w:type="dxa" w:w="60"/>
              <w:left w:type="dxa" w:w="100"/>
              <w:bottom w:type="dxa" w:w="60"/>
              <w:right w:type="dxa" w:w="100"/>
            </w:tcMar>
            <w:vAlign w:val="center"/>
          </w:tcPr>
          <w:p>
            <w:pPr>
              <w:spacing w:after="20" w:line="270"/>
              <w:jc w:val="center"/>
            </w:pPr>
            <w:r>
              <w:rPr>
                <w:rFonts w:ascii="Arial" w:cs="Arial" w:eastAsia="Arial" w:hAnsi="Arial"/>
                <w:b/>
                <w:bCs/>
                <w:sz w:val="18"/>
                <w:szCs w:val="18"/>
              </w:rPr>
              <w:t xml:space="preserve">Đối trừ</w:t>
            </w:r>
          </w:p>
        </w:tc>
      </w:tr>
    </w:tbl>
    <w:p>
      <w:pPr>
        <w:spacing w:after="0" w:line="120" w:lineRule="exact"/>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660"/>
        <w:gridCol w:w="1100"/>
        <w:gridCol w:w="2092"/>
        <w:gridCol w:w="5786"/>
      </w:tblGrid>
      <w:tr>
        <w:trPr>
          <w:cantSplit/>
          <w:tblHeader/>
        </w:trPr>
        <w:tc>
          <w:tcPr>
            <w:tcW w:type="dxa" w:w="66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top"/>
          </w:tcPr>
          <w:p>
            <w:pPr>
              <w:spacing w:after="20" w:line="270"/>
            </w:pPr>
            <w:r>
              <w:rPr>
                <w:rFonts w:ascii="Arial" w:cs="Arial" w:eastAsia="Arial" w:hAnsi="Arial"/>
                <w:b/>
                <w:bCs/>
                <w:sz w:val="19"/>
                <w:szCs w:val="19"/>
              </w:rPr>
              <w:t xml:space="preserve">Bước</w:t>
            </w:r>
          </w:p>
        </w:tc>
        <w:tc>
          <w:tcPr>
            <w:tcW w:type="dxa" w:w="110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top"/>
          </w:tcPr>
          <w:p>
            <w:pPr>
              <w:spacing w:after="20" w:line="270"/>
            </w:pPr>
            <w:r>
              <w:rPr>
                <w:rFonts w:ascii="Arial" w:cs="Arial" w:eastAsia="Arial" w:hAnsi="Arial"/>
                <w:b/>
                <w:bCs/>
                <w:sz w:val="19"/>
                <w:szCs w:val="19"/>
              </w:rPr>
              <w:t xml:space="preserve">Người thực hiện</w:t>
            </w:r>
          </w:p>
        </w:tc>
        <w:tc>
          <w:tcPr>
            <w:tcW w:type="dxa" w:w="2092"/>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top"/>
          </w:tcPr>
          <w:p>
            <w:pPr>
              <w:spacing w:after="20" w:line="270"/>
            </w:pPr>
            <w:r>
              <w:rPr>
                <w:rFonts w:ascii="Arial" w:cs="Arial" w:eastAsia="Arial" w:hAnsi="Arial"/>
                <w:b/>
                <w:bCs/>
                <w:sz w:val="19"/>
                <w:szCs w:val="19"/>
              </w:rPr>
              <w:t xml:space="preserve">Hành động</w:t>
            </w:r>
          </w:p>
        </w:tc>
        <w:tc>
          <w:tcPr>
            <w:tcW w:type="dxa" w:w="5786"/>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top"/>
          </w:tcPr>
          <w:p>
            <w:pPr>
              <w:spacing w:after="20" w:line="270"/>
            </w:pPr>
            <w:r>
              <w:rPr>
                <w:rFonts w:ascii="Arial" w:cs="Arial" w:eastAsia="Arial" w:hAnsi="Arial"/>
                <w:b/>
                <w:bCs/>
                <w:sz w:val="19"/>
                <w:szCs w:val="19"/>
              </w:rPr>
              <w:t xml:space="preserve">Kết quả / tác động</w:t>
            </w:r>
          </w:p>
        </w:tc>
      </w:tr>
      <w:tr>
        <w:trPr>
          <w:cantSplit/>
        </w:trPr>
        <w:tc>
          <w:tcPr>
            <w:tcW w:type="dxa" w:w="66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1</w:t>
            </w:r>
          </w:p>
        </w:tc>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Hệ thống</w:t>
            </w:r>
          </w:p>
        </w:tc>
        <w:tc>
          <w:tcPr>
            <w:tcW w:type="dxa" w:w="209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Khách nhận hàng (giao tại kho hoặc chốt giao ở chuyến).</w:t>
            </w:r>
          </w:p>
        </w:tc>
        <w:tc>
          <w:tcPr>
            <w:tcW w:type="dxa" w:w="578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Mỗi đợt nhận là một khoản phát sinh = giá trị khách thực nhận của đợt; hạn = ngày nhận + số ngày được nợ của khách. Phiếu trả hàng ghi phát sinh giảm vào ngày trả.</w:t>
            </w:r>
          </w:p>
        </w:tc>
      </w:tr>
      <w:tr>
        <w:trPr>
          <w:cantSplit/>
        </w:trPr>
        <w:tc>
          <w:tcPr>
            <w:tcW w:type="dxa" w:w="66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2</w:t>
            </w:r>
          </w:p>
        </w:tc>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Kế toán</w:t>
            </w:r>
          </w:p>
        </w:tc>
        <w:tc>
          <w:tcPr>
            <w:tcW w:type="dxa" w:w="209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Mở màn công nợ, xem danh sách khách hàng theo số dư.</w:t>
            </w:r>
          </w:p>
        </w:tc>
        <w:tc>
          <w:tcPr>
            <w:tcW w:type="dxa" w:w="578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Cột: Mã KH, Tên khách hàng, Loại, Điện thoại, Được nợ, Số khoản, Hạn gần nhất, Trả trước, Quá hạn, Số dư. Có dải "Cơ cấu nợ theo tuổi nợ", nút "Chỉ quá hạn", "Chỉ đối tác còn nợ" (mặc định bật), sắp xếp (Số dư lớn nhất, Quá hạn nhiều nhất, Hạn gần nhất, Tên A → Z).</w:t>
            </w:r>
          </w:p>
        </w:tc>
      </w:tr>
      <w:tr>
        <w:trPr>
          <w:cantSplit/>
        </w:trPr>
        <w:tc>
          <w:tcPr>
            <w:tcW w:type="dxa" w:w="66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3</w:t>
            </w:r>
          </w:p>
        </w:tc>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Kế toán</w:t>
            </w:r>
          </w:p>
        </w:tc>
        <w:tc>
          <w:tcPr>
            <w:tcW w:type="dxa" w:w="209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Mở sổ chi tiết của một đối tác.</w:t>
            </w:r>
          </w:p>
        </w:tc>
        <w:tc>
          <w:tcPr>
            <w:tcW w:type="dxa" w:w="578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Tóm tắt: Số dư, Hạn gần nhất, Khoản còn mở, Trong đó quá hạn, Trả trước chưa dùng; bảng sổ liên kết về đơn hàng (/don-hang/:id); có bộ lọc kỳ và in Biên bản đối chiếu.</w:t>
            </w:r>
          </w:p>
        </w:tc>
      </w:tr>
      <w:tr>
        <w:trPr>
          <w:cantSplit/>
        </w:trPr>
        <w:tc>
          <w:tcPr>
            <w:tcW w:type="dxa" w:w="66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4</w:t>
            </w:r>
          </w:p>
        </w:tc>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Kế toán</w:t>
            </w:r>
          </w:p>
        </w:tc>
        <w:tc>
          <w:tcPr>
            <w:tcW w:type="dxa" w:w="209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Lập phiếu thu cho khách (nút ở đầu trang hoặc ở từng dòng).</w:t>
            </w:r>
          </w:p>
        </w:tc>
        <w:tc>
          <w:tcPr>
            <w:tcW w:type="dxa" w:w="578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Mở form Phiếu thu (/thu-chi/lap/thu); lưu xong quay lại màn công nợ kèm thông báo.</w:t>
            </w:r>
          </w:p>
        </w:tc>
      </w:tr>
      <w:tr>
        <w:trPr>
          <w:cantSplit/>
        </w:trPr>
        <w:tc>
          <w:tcPr>
            <w:tcW w:type="dxa" w:w="66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5</w:t>
            </w:r>
          </w:p>
        </w:tc>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Kế toán</w:t>
            </w:r>
          </w:p>
        </w:tc>
        <w:tc>
          <w:tcPr>
            <w:tcW w:type="dxa" w:w="209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Trong sổ chi tiết bấm "Thông báo công nợ", chọn tài khoản nhận tiền (QR).</w:t>
            </w:r>
          </w:p>
        </w:tc>
        <w:tc>
          <w:tcPr>
            <w:tcW w:type="dxa" w:w="578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In thông báo gửi khách: các chứng từ còn nợ, hạn, quá hạn, số cần thanh toán, bằng chữ và mã VietQR (số tiền + nội dung "KH… TT CONG NO").</w:t>
            </w:r>
          </w:p>
        </w:tc>
      </w:tr>
    </w:tbl>
    <w:p>
      <w:pPr>
        <w:spacing w:after="60"/>
      </w:pPr>
    </w:p>
    <w:p>
      <w:pPr>
        <w:pStyle w:val="Heading1"/>
        <w:keepNext/>
        <w:spacing w:after="120" w:before="320"/>
      </w:pPr>
      <w:r>
        <w:rPr>
          <w:rFonts w:ascii="Arial" w:cs="Arial" w:eastAsia="Arial" w:hAnsi="Arial"/>
          <w:b/>
          <w:bCs/>
          <w:color w:val="1F3864"/>
          <w:sz w:val="28"/>
          <w:szCs w:val="28"/>
        </w:rPr>
        <w:t xml:space="preserve">3. Màn hình &amp; thành phần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30"/>
        <w:gridCol w:w="8208"/>
      </w:tblGrid>
      <w:tr>
        <w:trPr>
          <w:cantSplit/>
          <w:tblHeader/>
        </w:trPr>
        <w:tc>
          <w:tcPr>
            <w:tcW w:type="dxa" w:w="143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top"/>
          </w:tcPr>
          <w:p>
            <w:pPr>
              <w:spacing w:after="20" w:line="270"/>
            </w:pPr>
            <w:r>
              <w:rPr>
                <w:rFonts w:ascii="Arial" w:cs="Arial" w:eastAsia="Arial" w:hAnsi="Arial"/>
                <w:b/>
                <w:bCs/>
                <w:sz w:val="19"/>
                <w:szCs w:val="19"/>
              </w:rPr>
              <w:t xml:space="preserve">Màn hình / thành phần</w:t>
            </w:r>
          </w:p>
        </w:tc>
        <w:tc>
          <w:tcPr>
            <w:tcW w:type="dxa" w:w="8208"/>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top"/>
          </w:tcPr>
          <w:p>
            <w:pPr>
              <w:spacing w:after="20" w:line="270"/>
            </w:pPr>
            <w:r>
              <w:rPr>
                <w:rFonts w:ascii="Arial" w:cs="Arial" w:eastAsia="Arial" w:hAnsi="Arial"/>
                <w:b/>
                <w:bCs/>
                <w:sz w:val="19"/>
                <w:szCs w:val="19"/>
              </w:rPr>
              <w:t xml:space="preserve">Mô tả</w:t>
            </w:r>
          </w:p>
        </w:tc>
      </w:tr>
      <w:tr>
        <w:trPr>
          <w:cantSplit/>
        </w:trPr>
        <w:tc>
          <w:tcPr>
            <w:tcW w:type="dxa" w:w="143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Danh sách công nợ</w:t>
            </w:r>
          </w:p>
        </w:tc>
        <w:tc>
          <w:tcPr>
            <w:tcW w:type="dxa" w:w="820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Tìm khách hàng; xuất Excel; dải tuổi nợ; dòng tổng.</w:t>
            </w:r>
          </w:p>
        </w:tc>
      </w:tr>
      <w:tr>
        <w:trPr>
          <w:cantSplit/>
        </w:trPr>
        <w:tc>
          <w:tcPr>
            <w:tcW w:type="dxa" w:w="143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Sổ chi tiết</w:t>
            </w:r>
          </w:p>
        </w:tc>
        <w:tc>
          <w:tcPr>
            <w:tcW w:type="dxa" w:w="820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Cùng route với ?partnerId=, dùng chung màn với phải trả. Có tóm tắt, bộ lọc kỳ, nút "Chỉ chứng từ còn mở", in "Biên bản đối chiếu công nợ" và "Thông báo công nợ"; nút Nhắc nợ mở hộp nhắc nợ (ATL-31).</w:t>
            </w:r>
          </w:p>
        </w:tc>
      </w:tr>
    </w:tbl>
    <w:p>
      <w:pPr>
        <w:spacing w:after="60"/>
      </w:pPr>
    </w:p>
    <w:p>
      <w:pPr>
        <w:pStyle w:val="Heading1"/>
        <w:keepNext/>
        <w:spacing w:after="120" w:before="320"/>
      </w:pPr>
      <w:r>
        <w:rPr>
          <w:rFonts w:ascii="Arial" w:cs="Arial" w:eastAsia="Arial" w:hAnsi="Arial"/>
          <w:b/>
          <w:bCs/>
          <w:color w:val="1F3864"/>
          <w:sz w:val="28"/>
          <w:szCs w:val="28"/>
        </w:rPr>
        <w:t xml:space="preserve">4. Quy tắc nghiệp vụ</w:t>
      </w:r>
    </w:p>
    <w:p>
      <w:pPr>
        <w:pStyle w:val="ListParagraph"/>
        <w:numPr>
          <w:ilvl w:val="0"/>
          <w:numId w:val="2"/>
        </w:numPr>
        <w:spacing w:after="70" w:line="290"/>
      </w:pPr>
      <w:r>
        <w:rPr>
          <w:rFonts w:ascii="Arial" w:cs="Arial" w:eastAsia="Arial" w:hAnsi="Arial"/>
          <w:b/>
          <w:bCs/>
          <w:sz w:val="21"/>
          <w:szCs w:val="21"/>
        </w:rPr>
        <w:t xml:space="preserve">Phải thu theo giá trị khách THỰC NHẬN</w:t>
      </w:r>
      <w:r>
        <w:rPr>
          <w:rFonts w:ascii="Arial" w:cs="Arial" w:eastAsia="Arial" w:hAnsi="Arial"/>
          <w:sz w:val="21"/>
          <w:szCs w:val="21"/>
        </w:rPr>
        <w:t xml:space="preserve">, không theo số đặt; </w:t>
      </w:r>
      <w:r>
        <w:rPr>
          <w:rFonts w:ascii="Arial" w:cs="Arial" w:eastAsia="Arial" w:hAnsi="Arial"/>
          <w:b/>
          <w:bCs/>
          <w:sz w:val="21"/>
          <w:szCs w:val="21"/>
        </w:rPr>
        <w:t xml:space="preserve">mỗi đợt khách nhận một khoản</w:t>
      </w:r>
      <w:r>
        <w:rPr>
          <w:rFonts w:ascii="Arial" w:cs="Arial" w:eastAsia="Arial" w:hAnsi="Arial"/>
          <w:sz w:val="21"/>
          <w:szCs w:val="21"/>
        </w:rPr>
        <w:t xml:space="preserve"> (DH0000012, DH0000012·2…), hạn = ngày nhận của đợt + số ngày được nợ của khách. Đơn giao trước khi có bảng đợt vẫn là một khoản như cũ.</w:t>
      </w:r>
    </w:p>
    <w:p>
      <w:pPr>
        <w:pStyle w:val="ListParagraph"/>
        <w:numPr>
          <w:ilvl w:val="0"/>
          <w:numId w:val="2"/>
        </w:numPr>
        <w:spacing w:after="70" w:line="290"/>
      </w:pPr>
      <w:r>
        <w:rPr>
          <w:rFonts w:ascii="Arial" w:cs="Arial" w:eastAsia="Arial" w:hAnsi="Arial"/>
          <w:b/>
          <w:bCs/>
          <w:sz w:val="21"/>
          <w:szCs w:val="21"/>
        </w:rPr>
        <w:t xml:space="preserve">Trả hàng bán</w:t>
      </w:r>
      <w:r>
        <w:rPr>
          <w:rFonts w:ascii="Arial" w:cs="Arial" w:eastAsia="Arial" w:hAnsi="Arial"/>
          <w:sz w:val="21"/>
          <w:szCs w:val="21"/>
        </w:rPr>
        <w:t xml:space="preserve"> (TH…) là phát sinh giảm của đơn vào ngày trả.</w:t>
      </w:r>
    </w:p>
    <w:p>
      <w:pPr>
        <w:pStyle w:val="ListParagraph"/>
        <w:numPr>
          <w:ilvl w:val="0"/>
          <w:numId w:val="2"/>
        </w:numPr>
        <w:spacing w:after="70" w:line="290"/>
      </w:pPr>
      <w:r>
        <w:rPr>
          <w:rFonts w:ascii="Arial" w:cs="Arial" w:eastAsia="Arial" w:hAnsi="Arial"/>
          <w:b/>
          <w:bCs/>
          <w:sz w:val="21"/>
          <w:szCs w:val="21"/>
        </w:rPr>
        <w:t xml:space="preserve">Số dư tính trên toàn bộ lịch sử</w:t>
      </w:r>
      <w:r>
        <w:rPr>
          <w:rFonts w:ascii="Arial" w:cs="Arial" w:eastAsia="Arial" w:hAnsi="Arial"/>
          <w:sz w:val="21"/>
          <w:szCs w:val="21"/>
        </w:rPr>
        <w:t xml:space="preserve">, không phụ thuộc khoảng ngày.</w:t>
      </w:r>
    </w:p>
    <w:p>
      <w:pPr>
        <w:pStyle w:val="ListParagraph"/>
        <w:numPr>
          <w:ilvl w:val="0"/>
          <w:numId w:val="2"/>
        </w:numPr>
        <w:spacing w:after="70" w:line="290"/>
      </w:pPr>
      <w:r>
        <w:rPr>
          <w:rFonts w:ascii="Arial" w:cs="Arial" w:eastAsia="Arial" w:hAnsi="Arial"/>
          <w:sz w:val="21"/>
          <w:szCs w:val="21"/>
        </w:rPr>
        <w:t xml:space="preserve">Phiếu thu: phần Chọn tay trừ đúng chứng từ (chọn theo mã đơn thì trả các đợt của đơn, đợt đến hạn sớm trước); phần còn lại và mọi phiếu Tự động trừ khoản đến hạn sớm nhất (FIFO). Phiếu "Thu tiền ngay" trừ thẳng vào đợt của nó.</w:t>
      </w:r>
    </w:p>
    <w:p>
      <w:pPr>
        <w:pStyle w:val="ListParagraph"/>
        <w:numPr>
          <w:ilvl w:val="0"/>
          <w:numId w:val="2"/>
        </w:numPr>
        <w:spacing w:after="70" w:line="290"/>
      </w:pPr>
      <w:r>
        <w:rPr>
          <w:rFonts w:ascii="Arial" w:cs="Arial" w:eastAsia="Arial" w:hAnsi="Arial"/>
          <w:sz w:val="21"/>
          <w:szCs w:val="21"/>
        </w:rPr>
        <w:t xml:space="preserve">Tiền thu dư không gán được là </w:t>
      </w:r>
      <w:r>
        <w:rPr>
          <w:rFonts w:ascii="Arial" w:cs="Arial" w:eastAsia="Arial" w:hAnsi="Arial"/>
          <w:b/>
          <w:bCs/>
          <w:sz w:val="21"/>
          <w:szCs w:val="21"/>
        </w:rPr>
        <w:t xml:space="preserve">Trả trước</w:t>
      </w:r>
      <w:r>
        <w:rPr>
          <w:rFonts w:ascii="Arial" w:cs="Arial" w:eastAsia="Arial" w:hAnsi="Arial"/>
          <w:sz w:val="21"/>
          <w:szCs w:val="21"/>
        </w:rPr>
        <w:t xml:space="preserve"> (số dư âm, hiện màu).</w:t>
      </w:r>
    </w:p>
    <w:p>
      <w:pPr>
        <w:pStyle w:val="ListParagraph"/>
        <w:numPr>
          <w:ilvl w:val="0"/>
          <w:numId w:val="2"/>
        </w:numPr>
        <w:spacing w:after="70" w:line="290"/>
      </w:pPr>
      <w:r>
        <w:rPr>
          <w:rFonts w:ascii="Arial" w:cs="Arial" w:eastAsia="Arial" w:hAnsi="Arial"/>
          <w:sz w:val="21"/>
          <w:szCs w:val="21"/>
        </w:rPr>
        <w:t xml:space="preserve">Phiếu hoàn tiền cho khách (chiều ngược lại) tính như một khoản nợ.</w:t>
      </w:r>
    </w:p>
    <w:p>
      <w:pPr>
        <w:pStyle w:val="ListParagraph"/>
        <w:numPr>
          <w:ilvl w:val="0"/>
          <w:numId w:val="2"/>
        </w:numPr>
        <w:spacing w:after="70" w:line="290"/>
      </w:pPr>
      <w:r>
        <w:rPr>
          <w:rFonts w:ascii="Arial" w:cs="Arial" w:eastAsia="Arial" w:hAnsi="Arial"/>
          <w:sz w:val="21"/>
          <w:szCs w:val="21"/>
        </w:rPr>
        <w:t xml:space="preserve">Phiếu đã huỷ không tính; công nợ tự mở lại.</w:t>
      </w:r>
    </w:p>
    <w:p>
      <w:pPr>
        <w:pStyle w:val="ListParagraph"/>
        <w:numPr>
          <w:ilvl w:val="0"/>
          <w:numId w:val="2"/>
        </w:numPr>
        <w:spacing w:after="70" w:line="290"/>
      </w:pPr>
      <w:r>
        <w:rPr>
          <w:rFonts w:ascii="Arial" w:cs="Arial" w:eastAsia="Arial" w:hAnsi="Arial"/>
          <w:sz w:val="21"/>
          <w:szCs w:val="21"/>
        </w:rPr>
        <w:t xml:space="preserve">Đối tác tất toán (số dư 0) không hiện.</w:t>
      </w:r>
    </w:p>
    <w:p>
      <w:pPr>
        <w:pStyle w:val="Heading1"/>
        <w:keepNext/>
        <w:spacing w:after="120" w:before="320"/>
      </w:pPr>
      <w:r>
        <w:rPr>
          <w:rFonts w:ascii="Arial" w:cs="Arial" w:eastAsia="Arial" w:hAnsi="Arial"/>
          <w:b/>
          <w:bCs/>
          <w:color w:val="1F3864"/>
          <w:sz w:val="28"/>
          <w:szCs w:val="28"/>
        </w:rPr>
        <w:t xml:space="preserve">5. Dữ liệu</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72"/>
        <w:gridCol w:w="1550"/>
        <w:gridCol w:w="6616"/>
      </w:tblGrid>
      <w:tr>
        <w:trPr>
          <w:cantSplit/>
          <w:tblHeader/>
        </w:trPr>
        <w:tc>
          <w:tcPr>
            <w:tcW w:type="dxa" w:w="1472"/>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top"/>
          </w:tcPr>
          <w:p>
            <w:pPr>
              <w:spacing w:after="20" w:line="270"/>
            </w:pPr>
            <w:r>
              <w:rPr>
                <w:rFonts w:ascii="Arial" w:cs="Arial" w:eastAsia="Arial" w:hAnsi="Arial"/>
                <w:b/>
                <w:bCs/>
                <w:sz w:val="19"/>
                <w:szCs w:val="19"/>
              </w:rPr>
              <w:t xml:space="preserve">Trường</w:t>
            </w:r>
          </w:p>
        </w:tc>
        <w:tc>
          <w:tcPr>
            <w:tcW w:type="dxa" w:w="155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top"/>
          </w:tcPr>
          <w:p>
            <w:pPr>
              <w:spacing w:after="20" w:line="270"/>
            </w:pPr>
            <w:r>
              <w:rPr>
                <w:rFonts w:ascii="Arial" w:cs="Arial" w:eastAsia="Arial" w:hAnsi="Arial"/>
                <w:b/>
                <w:bCs/>
                <w:sz w:val="19"/>
                <w:szCs w:val="19"/>
              </w:rPr>
              <w:t xml:space="preserve">Kiểu / định dạng</w:t>
            </w:r>
          </w:p>
        </w:tc>
        <w:tc>
          <w:tcPr>
            <w:tcW w:type="dxa" w:w="6616"/>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top"/>
          </w:tcPr>
          <w:p>
            <w:pPr>
              <w:spacing w:after="20" w:line="270"/>
            </w:pPr>
            <w:r>
              <w:rPr>
                <w:rFonts w:ascii="Arial" w:cs="Arial" w:eastAsia="Arial" w:hAnsi="Arial"/>
                <w:b/>
                <w:bCs/>
                <w:sz w:val="19"/>
                <w:szCs w:val="19"/>
              </w:rPr>
              <w:t xml:space="preserve">Mô tả</w:t>
            </w:r>
          </w:p>
        </w:tc>
      </w:tr>
      <w:tr>
        <w:trPr>
          <w:cantSplit/>
        </w:trPr>
        <w:tc>
          <w:tcPr>
            <w:tcW w:type="dxa" w:w="147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DebtRow / DebtEntry</w:t>
            </w:r>
          </w:p>
        </w:tc>
        <w:tc>
          <w:tcPr>
            <w:tcW w:type="dxa" w:w="155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Như công nợ phải trả</w:t>
            </w:r>
          </w:p>
        </w:tc>
        <w:tc>
          <w:tcPr>
            <w:tcW w:type="dxa" w:w="661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partnerId, balance, overdue, prepaid, aging, entries; entry gồm ref, date, dueDate, amount, loại.</w:t>
            </w:r>
          </w:p>
        </w:tc>
      </w:tr>
    </w:tbl>
    <w:p>
      <w:pPr>
        <w:spacing w:after="60"/>
      </w:pPr>
    </w:p>
    <w:p>
      <w:pPr>
        <w:pStyle w:val="Heading1"/>
        <w:keepNext/>
        <w:spacing w:after="120" w:before="320"/>
      </w:pPr>
      <w:r>
        <w:rPr>
          <w:rFonts w:ascii="Arial" w:cs="Arial" w:eastAsia="Arial" w:hAnsi="Arial"/>
          <w:b/>
          <w:bCs/>
          <w:color w:val="1F3864"/>
          <w:sz w:val="28"/>
          <w:szCs w:val="28"/>
        </w:rPr>
        <w:t xml:space="preserve">6. Liên kết với chức năng khác</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450"/>
        <w:gridCol w:w="5188"/>
      </w:tblGrid>
      <w:tr>
        <w:trPr>
          <w:cantSplit/>
          <w:tblHeader/>
        </w:trPr>
        <w:tc>
          <w:tcPr>
            <w:tcW w:type="dxa" w:w="445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top"/>
          </w:tcPr>
          <w:p>
            <w:pPr>
              <w:spacing w:after="20" w:line="270"/>
            </w:pPr>
            <w:r>
              <w:rPr>
                <w:rFonts w:ascii="Arial" w:cs="Arial" w:eastAsia="Arial" w:hAnsi="Arial"/>
                <w:b/>
                <w:bCs/>
                <w:sz w:val="19"/>
                <w:szCs w:val="19"/>
              </w:rPr>
              <w:t xml:space="preserve">Chức năng</w:t>
            </w:r>
          </w:p>
        </w:tc>
        <w:tc>
          <w:tcPr>
            <w:tcW w:type="dxa" w:w="5188"/>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top"/>
          </w:tcPr>
          <w:p>
            <w:pPr>
              <w:spacing w:after="20" w:line="270"/>
            </w:pPr>
            <w:r>
              <w:rPr>
                <w:rFonts w:ascii="Arial" w:cs="Arial" w:eastAsia="Arial" w:hAnsi="Arial"/>
                <w:b/>
                <w:bCs/>
                <w:sz w:val="19"/>
                <w:szCs w:val="19"/>
              </w:rPr>
              <w:t xml:space="preserve">Quan hệ</w:t>
            </w:r>
          </w:p>
        </w:tc>
      </w:tr>
      <w:tr>
        <w:trPr>
          <w:cantSplit/>
        </w:trPr>
        <w:tc>
          <w:tcPr>
            <w:tcW w:type="dxa" w:w="445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Đơn hàng bán (ATL-12), Chuyến giao hàng (ATL-13)</w:t>
            </w:r>
          </w:p>
        </w:tc>
        <w:tc>
          <w:tcPr>
            <w:tcW w:type="dxa" w:w="518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Nguồn phát sinh công nợ.</w:t>
            </w:r>
          </w:p>
        </w:tc>
      </w:tr>
      <w:tr>
        <w:trPr>
          <w:cantSplit/>
        </w:trPr>
        <w:tc>
          <w:tcPr>
            <w:tcW w:type="dxa" w:w="445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Phiếu thu chi (ATL-16)</w:t>
            </w:r>
          </w:p>
        </w:tc>
        <w:tc>
          <w:tcPr>
            <w:tcW w:type="dxa" w:w="518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Phiếu thu đối trừ.</w:t>
            </w:r>
          </w:p>
        </w:tc>
      </w:tr>
      <w:tr>
        <w:trPr>
          <w:cantSplit/>
        </w:trPr>
        <w:tc>
          <w:tcPr>
            <w:tcW w:type="dxa" w:w="445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Tuổi nợ (ATL-19)</w:t>
            </w:r>
          </w:p>
        </w:tc>
        <w:tc>
          <w:tcPr>
            <w:tcW w:type="dxa" w:w="518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Phân loại độ trễ.</w:t>
            </w:r>
          </w:p>
        </w:tc>
      </w:tr>
      <w:tr>
        <w:trPr>
          <w:cantSplit/>
        </w:trPr>
        <w:tc>
          <w:tcPr>
            <w:tcW w:type="dxa" w:w="445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Nhắc nợ (ATL-31)</w:t>
            </w:r>
          </w:p>
        </w:tc>
        <w:tc>
          <w:tcPr>
            <w:tcW w:type="dxa" w:w="518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Danh sách khách cần nhắc, tin soạn sẵn, lịch sử nhắc.</w:t>
            </w:r>
          </w:p>
        </w:tc>
      </w:tr>
      <w:tr>
        <w:trPr>
          <w:cantSplit/>
        </w:trPr>
        <w:tc>
          <w:tcPr>
            <w:tcW w:type="dxa" w:w="445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Tài khoản tiền (ATL-17)</w:t>
            </w:r>
          </w:p>
        </w:tc>
        <w:tc>
          <w:tcPr>
            <w:tcW w:type="dxa" w:w="518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Mã ngân hàng (BIN) của tài khoản dùng để tạo mã VietQR.</w:t>
            </w:r>
          </w:p>
        </w:tc>
      </w:tr>
      <w:tr>
        <w:trPr>
          <w:cantSplit/>
        </w:trPr>
        <w:tc>
          <w:tcPr>
            <w:tcW w:type="dxa" w:w="445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Khách hàng (ATL-11)</w:t>
            </w:r>
          </w:p>
        </w:tc>
        <w:tc>
          <w:tcPr>
            <w:tcW w:type="dxa" w:w="518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Số ngày được nợ.</w:t>
            </w:r>
          </w:p>
        </w:tc>
      </w:tr>
    </w:tbl>
    <w:p>
      <w:pPr>
        <w:spacing w:after="60"/>
      </w:pPr>
    </w:p>
    <w:p>
      <w:pPr>
        <w:pStyle w:val="Heading1"/>
        <w:keepNext/>
        <w:spacing w:after="120" w:before="320"/>
      </w:pPr>
      <w:r>
        <w:rPr>
          <w:rFonts w:ascii="Arial" w:cs="Arial" w:eastAsia="Arial" w:hAnsi="Arial"/>
          <w:b/>
          <w:bCs/>
          <w:color w:val="1F3864"/>
          <w:sz w:val="28"/>
          <w:szCs w:val="28"/>
        </w:rPr>
        <w:t xml:space="preserve">7. Trường hợp ngoại lệ &amp; thông báo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855"/>
        <w:gridCol w:w="5783"/>
      </w:tblGrid>
      <w:tr>
        <w:trPr>
          <w:cantSplit/>
          <w:tblHeader/>
        </w:trPr>
        <w:tc>
          <w:tcPr>
            <w:tcW w:type="dxa" w:w="3855"/>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top"/>
          </w:tcPr>
          <w:p>
            <w:pPr>
              <w:spacing w:after="20" w:line="270"/>
            </w:pPr>
            <w:r>
              <w:rPr>
                <w:rFonts w:ascii="Arial" w:cs="Arial" w:eastAsia="Arial" w:hAnsi="Arial"/>
                <w:b/>
                <w:bCs/>
                <w:sz w:val="19"/>
                <w:szCs w:val="19"/>
              </w:rPr>
              <w:t xml:space="preserve">Tình huống</w:t>
            </w:r>
          </w:p>
        </w:tc>
        <w:tc>
          <w:tcPr>
            <w:tcW w:type="dxa" w:w="5783"/>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top"/>
          </w:tcPr>
          <w:p>
            <w:pPr>
              <w:spacing w:after="20" w:line="270"/>
            </w:pPr>
            <w:r>
              <w:rPr>
                <w:rFonts w:ascii="Arial" w:cs="Arial" w:eastAsia="Arial" w:hAnsi="Arial"/>
                <w:b/>
                <w:bCs/>
                <w:sz w:val="19"/>
                <w:szCs w:val="19"/>
              </w:rPr>
              <w:t xml:space="preserve">Hệ thống xử lý</w:t>
            </w:r>
          </w:p>
        </w:tc>
      </w:tr>
      <w:tr>
        <w:trPr>
          <w:cantSplit/>
        </w:trPr>
        <w:tc>
          <w:tcPr>
            <w:tcW w:type="dxa" w:w="385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Khách không còn nợ</w:t>
            </w:r>
          </w:p>
        </w:tc>
        <w:tc>
          <w:tcPr>
            <w:tcW w:type="dxa" w:w="578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Không hiện trong danh sách.</w:t>
            </w:r>
          </w:p>
        </w:tc>
      </w:tr>
    </w:tbl>
    <w:p>
      <w:pPr>
        <w:spacing w:after="60"/>
      </w:pPr>
    </w:p>
    <w:p>
      <w:pPr>
        <w:pStyle w:val="Heading1"/>
        <w:keepNext/>
        <w:spacing w:after="120" w:before="320"/>
      </w:pPr>
      <w:r>
        <w:rPr>
          <w:rFonts w:ascii="Arial" w:cs="Arial" w:eastAsia="Arial" w:hAnsi="Arial"/>
          <w:b/>
          <w:bCs/>
          <w:color w:val="1F3864"/>
          <w:sz w:val="28"/>
          <w:szCs w:val="28"/>
        </w:rPr>
        <w:t xml:space="preserve">8. Bản in</w:t>
      </w:r>
    </w:p>
    <w:p>
      <w:pPr>
        <w:pStyle w:val="ListParagraph"/>
        <w:numPr>
          <w:ilvl w:val="0"/>
          <w:numId w:val="1"/>
        </w:numPr>
        <w:spacing w:after="60" w:line="290"/>
      </w:pPr>
      <w:r>
        <w:rPr>
          <w:rFonts w:ascii="Arial" w:cs="Arial" w:eastAsia="Arial" w:hAnsi="Arial"/>
          <w:sz w:val="21"/>
          <w:szCs w:val="21"/>
        </w:rPr>
        <w:t xml:space="preserve">Phiếu in: </w:t>
      </w:r>
      <w:r>
        <w:rPr>
          <w:rFonts w:ascii="Arial" w:cs="Arial" w:eastAsia="Arial" w:hAnsi="Arial"/>
          <w:b/>
          <w:bCs/>
          <w:sz w:val="21"/>
          <w:szCs w:val="21"/>
        </w:rPr>
        <w:t xml:space="preserve">Biên bản đối chiếu công nợ</w:t>
      </w:r>
      <w:r>
        <w:rPr>
          <w:rFonts w:ascii="Arial" w:cs="Arial" w:eastAsia="Arial" w:hAnsi="Arial"/>
          <w:sz w:val="21"/>
          <w:szCs w:val="21"/>
        </w:rPr>
        <w:t xml:space="preserve">, dựng bằng khuôn in chung (ATL-26): tiêu đề công ty (logo + tên + địa chỉ, mã số thuế, điện thoại, email, website có nhãn) và số phiếu, tiêu đề, khối thông tin, bảng, khối ký, chân trang "In lúc … · người in".</w:t>
      </w:r>
    </w:p>
    <w:p>
      <w:pPr>
        <w:pStyle w:val="ListParagraph"/>
        <w:numPr>
          <w:ilvl w:val="0"/>
          <w:numId w:val="1"/>
        </w:numPr>
        <w:spacing w:after="60" w:line="290"/>
      </w:pPr>
      <w:r>
        <w:rPr>
          <w:rFonts w:ascii="Arial" w:cs="Arial" w:eastAsia="Arial" w:hAnsi="Arial"/>
          <w:sz w:val="21"/>
          <w:szCs w:val="21"/>
        </w:rPr>
        <w:t xml:space="preserve">Từ sổ chi tiết của một khách hàng: Bên A / Bên B, kỳ đối chiếu, bảng phát sinh, số dư đầu / cuối kỳ; ký đại diện hai bên (đóng dấu).</w:t>
      </w:r>
    </w:p>
    <w:p>
      <w:pPr>
        <w:pStyle w:val="ListParagraph"/>
        <w:numPr>
          <w:ilvl w:val="0"/>
          <w:numId w:val="1"/>
        </w:numPr>
        <w:spacing w:after="60" w:line="290"/>
      </w:pPr>
      <w:r>
        <w:rPr>
          <w:rFonts w:ascii="Arial" w:cs="Arial" w:eastAsia="Arial" w:hAnsi="Arial"/>
          <w:b/>
          <w:bCs/>
          <w:sz w:val="21"/>
          <w:szCs w:val="21"/>
        </w:rPr>
        <w:t xml:space="preserve">Thông báo công nợ:</w:t>
      </w:r>
      <w:r>
        <w:rPr>
          <w:rFonts w:ascii="Arial" w:cs="Arial" w:eastAsia="Arial" w:hAnsi="Arial"/>
          <w:sz w:val="21"/>
          <w:szCs w:val="21"/>
        </w:rPr>
        <w:t xml:space="preserve"> "Kính gửi" khách, bảng chứng từ còn nợ (ngày, chứng từ, hạn, quá hạn, còn nợ), tiền trả trước chưa trừ, số tiền cần thanh toán và bằng chữ, mã VietQR của tài khoản nhận tiền. Chưa có tài khoản ngân hàng khai mã BIN thì nhắc "Khai ở Tài khoản tiền".</w:t>
      </w:r>
    </w:p>
    <w:p>
      <w:pPr>
        <w:pStyle w:val="Heading1"/>
        <w:keepNext/>
        <w:spacing w:after="120" w:before="320"/>
      </w:pPr>
      <w:r>
        <w:rPr>
          <w:rFonts w:ascii="Arial" w:cs="Arial" w:eastAsia="Arial" w:hAnsi="Arial"/>
          <w:b/>
          <w:bCs/>
          <w:color w:val="1F3864"/>
          <w:sz w:val="28"/>
          <w:szCs w:val="28"/>
        </w:rPr>
        <w:t xml:space="preserve">9. Ghi chú &amp; giới hạn hiện tại</w:t>
      </w:r>
    </w:p>
    <w:p>
      <w:pPr>
        <w:pStyle w:val="ListParagraph"/>
        <w:numPr>
          <w:ilvl w:val="0"/>
          <w:numId w:val="1"/>
        </w:numPr>
        <w:spacing w:after="60" w:line="290"/>
      </w:pPr>
      <w:r>
        <w:rPr>
          <w:rFonts w:ascii="Arial" w:cs="Arial" w:eastAsia="Arial" w:hAnsi="Arial"/>
          <w:sz w:val="21"/>
          <w:szCs w:val="21"/>
        </w:rPr>
        <w:t xml:space="preserve">Tổng phải thu khớp tổng giá trị thực nhận trừ tổng phiếu thu đã đối trừ.</w:t>
      </w:r>
    </w:p>
    <w:p>
      <w:pPr>
        <w:pStyle w:val="ListParagraph"/>
        <w:numPr>
          <w:ilvl w:val="0"/>
          <w:numId w:val="1"/>
        </w:numPr>
        <w:spacing w:after="60" w:line="290"/>
      </w:pPr>
      <w:r>
        <w:rPr>
          <w:rFonts w:ascii="Arial" w:cs="Arial" w:eastAsia="Arial" w:hAnsi="Arial"/>
          <w:sz w:val="21"/>
          <w:szCs w:val="21"/>
        </w:rPr>
        <w:t xml:space="preserve">Dữ liệu được lưu ở máy chủ (cơ sở dữ liệu PostgreSQL) và đọc / ghi qua API; các quy tắc nghiệp vụ trong tài liệu này được áp ở máy chủ, giao diện báo lỗi sớm cho người dùng. Mỗi thao tác ghi để lại một dòng Nhật ký hoạt động (ATL-27).</w:t>
      </w:r>
    </w:p>
    <w:sectPr>
      <w:headerReference w:type="default" r:id="rId6"/>
      <w:footerReference w:type="default" r:id="rId7"/>
      <w:pgSz w:w="11906" w:h="16838" w:orient="portrait"/>
      <w:pgMar w:top="1300" w:right="1134" w:bottom="1200"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r="http://schemas.openxmlformats.org/officeDocument/2006/relationships" xmlns:w="http://schemas.openxmlformats.org/wordprocessingml/2006/main">
  <w:p>
    <w:pPr>
      <w:jc w:val="center"/>
    </w:pPr>
    <w:r>
      <w:rPr>
        <w:rFonts w:ascii="Arial" w:cs="Arial" w:eastAsia="Arial" w:hAnsi="Arial"/>
        <w:color w:val="7F7F7F"/>
        <w:sz w:val="17"/>
        <w:szCs w:val="17"/>
      </w:rPr>
      <w:t xml:space="preserve">Trang </w:t>
    </w:r>
    <w:r>
      <w:rPr>
        <w:rFonts w:ascii="Arial" w:cs="Arial" w:eastAsia="Arial" w:hAnsi="Arial"/>
        <w:color w:val="7F7F7F"/>
        <w:sz w:val="17"/>
        <w:szCs w:val="17"/>
      </w:rPr>
      <w:fldChar w:fldCharType="begin"/>
    </w:r>
    <w:r>
      <w:rPr>
        <w:rFonts w:ascii="Arial" w:cs="Arial" w:eastAsia="Arial" w:hAnsi="Arial"/>
        <w:color w:val="7F7F7F"/>
        <w:sz w:val="17"/>
        <w:szCs w:val="17"/>
      </w:rPr>
      <w:instrText xml:space="preserve">PAGE</w:instrText>
    </w:r>
    <w:r>
      <w:rPr>
        <w:rFonts w:ascii="Arial" w:cs="Arial" w:eastAsia="Arial" w:hAnsi="Arial"/>
        <w:color w:val="7F7F7F"/>
        <w:sz w:val="17"/>
        <w:szCs w:val="17"/>
      </w:rPr>
      <w:fldChar w:fldCharType="separate"/>
    </w:r>
    <w:r>
      <w:rPr>
        <w:rFonts w:ascii="Arial" w:cs="Arial" w:eastAsia="Arial" w:hAnsi="Arial"/>
        <w:color w:val="7F7F7F"/>
        <w:sz w:val="17"/>
        <w:szCs w:val="17"/>
      </w:rPr>
      <w:t>1</w:t>
    </w:r>
    <w:r>
      <w:rPr>
        <w:rFonts w:ascii="Arial" w:cs="Arial" w:eastAsia="Arial" w:hAnsi="Arial"/>
        <w:color w:val="7F7F7F"/>
        <w:sz w:val="17"/>
        <w:szCs w:val="17"/>
      </w:rPr>
      <w:fldChar w:fldCharType="end"/>
    </w:r>
    <w:r>
      <w:rPr>
        <w:rFonts w:ascii="Arial" w:cs="Arial" w:eastAsia="Arial" w:hAnsi="Arial"/>
        <w:color w:val="7F7F7F"/>
        <w:sz w:val="17"/>
        <w:szCs w:val="17"/>
      </w:rPr>
      <w:t xml:space="preserve"> / </w:t>
    </w:r>
    <w:r>
      <w:rPr>
        <w:rFonts w:ascii="Arial" w:cs="Arial" w:eastAsia="Arial" w:hAnsi="Arial"/>
        <w:color w:val="7F7F7F"/>
        <w:sz w:val="17"/>
        <w:szCs w:val="17"/>
      </w:rPr>
      <w:fldChar w:fldCharType="begin"/>
    </w:r>
    <w:r>
      <w:rPr>
        <w:rFonts w:ascii="Arial" w:cs="Arial" w:eastAsia="Arial" w:hAnsi="Arial"/>
        <w:color w:val="7F7F7F"/>
        <w:sz w:val="17"/>
        <w:szCs w:val="17"/>
      </w:rPr>
      <w:instrText xml:space="preserve">NUMPAGES</w:instrText>
    </w:r>
    <w:r>
      <w:rPr>
        <w:rFonts w:ascii="Arial" w:cs="Arial" w:eastAsia="Arial" w:hAnsi="Arial"/>
        <w:color w:val="7F7F7F"/>
        <w:sz w:val="17"/>
        <w:szCs w:val="17"/>
      </w:rPr>
      <w:fldChar w:fldCharType="separate"/>
    </w:r>
    <w:r>
      <w:rPr>
        <w:rFonts w:ascii="Arial" w:cs="Arial" w:eastAsia="Arial" w:hAnsi="Arial"/>
        <w:color w:val="7F7F7F"/>
        <w:sz w:val="17"/>
        <w:szCs w:val="17"/>
      </w:rPr>
      <w:t>1</w:t>
    </w:r>
    <w:r>
      <w:rPr>
        <w:rFonts w:ascii="Arial" w:cs="Arial" w:eastAsia="Arial" w:hAnsi="Arial"/>
        <w:color w:val="7F7F7F"/>
        <w:sz w:val="17"/>
        <w:szCs w:val="17"/>
      </w:rP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r="http://schemas.openxmlformats.org/officeDocument/2006/relationships" xmlns:w="http://schemas.openxmlformats.org/wordprocessingml/2006/main">
  <w:p>
    <w:pPr>
      <w:pBdr>
        <w:bottom w:val="single" w:color="A6A6A6" w:sz="6" w:space="2"/>
      </w:pBdr>
      <w:tabs>
        <w:tab w:val="right" w:pos="9638"/>
      </w:tabs>
    </w:pPr>
    <w:r>
      <w:rPr>
        <w:rFonts w:ascii="Arial" w:cs="Arial" w:eastAsia="Arial" w:hAnsi="Arial"/>
        <w:color w:val="7F7F7F"/>
        <w:sz w:val="17"/>
        <w:szCs w:val="17"/>
      </w:rPr>
      <w:t xml:space="preserve">Ninh Trang ERP — Tài liệu Atlas</w:t>
    </w:r>
    <w:r>
      <w:rPr>
        <w:rFonts w:ascii="Arial" w:cs="Arial" w:eastAsia="Arial" w:hAnsi="Arial"/>
        <w:color w:val="7F7F7F"/>
        <w:sz w:val="17"/>
        <w:szCs w:val="17"/>
      </w:rPr>
      <w:tab/>
      <w:t xml:space="preserve">ATL-15 · Công nợ phải thu</w:t>
    </w:r>
  </w:p>
</w:hdr>
</file>

<file path=word/numbering.xml><?xml version="1.0" encoding="utf-8"?>
<w:numbering xmlns:r="http://schemas.openxmlformats.org/officeDocument/2006/relationships" xmlns:w="http://schemas.openxmlformats.org/wordprocessingml/2006/main">
  <w:abstractNum w:abstractNumId="1">
    <w:multiLevelType w:val="singleLevel"/>
    <w:lvl w:ilvl="0">
      <w:start w:val="1"/>
      <w:numFmt w:val="bullet"/>
      <w:lvlText w:val="•"/>
      <w:lvlJc w:val="left"/>
      <w:pPr>
        <w:ind w:left="540" w:hanging="270"/>
      </w:pPr>
    </w:lvl>
  </w:abstractNum>
  <w:abstractNum w:abstractNumId="2">
    <w:multiLevelType w:val="singleLevel"/>
    <w:lvl w:ilvl="0">
      <w:start w:val="1"/>
      <w:numFmt w:val="decimal"/>
      <w:lvlText w:val="%1."/>
      <w:lvlJc w:val="left"/>
      <w:pPr>
        <w:ind w:left="540" w:hanging="360"/>
      </w:pPr>
    </w:lvl>
  </w:abstractNum>
  <w:num w:numId="1">
    <w:abstractNumId w:val="1"/>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320"/>
      <w:outlineLvl w:val="0"/>
    </w:pPr>
    <w:rPr>
      <w:rFonts w:ascii="Arial" w:cs="Arial" w:eastAsia="Arial" w:hAnsi="Arial"/>
      <w:b/>
      <w:bCs/>
      <w:color w:val="1F3864"/>
      <w:sz w:val="28"/>
      <w:szCs w:val="28"/>
    </w:rPr>
  </w:style>
  <w:style w:type="paragraph" w:styleId="Heading2">
    <w:name w:val="Heading 2"/>
    <w:basedOn w:val="Normal"/>
    <w:next w:val="Normal"/>
    <w:qFormat/>
    <w:pPr>
      <w:spacing w:after="80" w:before="200"/>
      <w:outlineLvl w:val="1"/>
    </w:pPr>
    <w:rPr>
      <w:rFonts w:ascii="Arial" w:cs="Arial" w:eastAsia="Arial" w:hAnsi="Arial"/>
      <w:b/>
      <w:bCs/>
      <w:color w:val="2F5496"/>
      <w:sz w:val="24"/>
      <w:szCs w:val="24"/>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ATL-15 — Công nợ phải thu</dc:title>
  <dc:creator>Ninh Trang ERP</dc:creator>
  <cp:lastModifiedBy>Ninh Trang ERP</cp:lastModifiedBy>
  <cp:revision>1</cp:revision>
  <dcterms:created xsi:type="dcterms:W3CDTF">2026-10-29T00:00:00Z</dcterms:created>
  <dcterms:modified xsi:type="dcterms:W3CDTF">2026-10-29T00:00:00Z</dcterms:modified>
</cp:coreProperties>
</file>

<file path=docProps/custom.xml><?xml version="1.0" encoding="utf-8"?>
<Properties xmlns="http://schemas.openxmlformats.org/officeDocument/2006/custom-properties" xmlns:vt="http://schemas.openxmlformats.org/officeDocument/2006/docPropsVTypes"/>
</file>