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Phiếu thu chi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/thu-chi, /thu-chi/lap/(thu|chi), /thu-chi/:id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Sổ quỹ của doanh nghiệp: ghi tiền vào (phiếu thu) và tiền ra (phiếu chi) theo từng tài khoản tiền; phiếu gắn khách hàng hoặc nhà cung cấp sẽ đối trừ công nợ. Có in phiếu, huỷ phiếu và xem số dư từng tài khoản.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lập, in, huỷ phiếu.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lý: xem, theo dõi dòng tiền.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voucher.view; voucher.create_receipt (phiếu thu); voucher.create_payment (phiếu chi); voucher.cancel (huỷ); voucher.overdraw (chi / huỷ vượt tồn quỹ: CEO, Quản lý); debt.settle (đối trừ chọn tay).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Lập phiếu thu / chi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tài khoản &amp; loại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đối tác &amp; số tiền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cách đối trừ</w:t>
            </w:r>
          </w:p>
        </w:tc>
      </w:tr>
    </w:tbl>
    <w:p>
      <w:pPr>
        <w:spacing w:after="0" w:line="120" w:lineRule="exact"/>
      </w:pPr>
    </w:p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3"/>
        <w:gridCol w:w="412"/>
        <w:gridCol w:w="4613"/>
      </w:tblGrid>
      <w:tr>
        <w:trPr>
          <w:cantSplit/>
        </w:trPr>
        <w:tc>
          <w:tcPr>
            <w:tcW w:type="dxa" w:w="4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Lưu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4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công nợ &amp; quỹ cập nhật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2996"/>
        <w:gridCol w:w="4882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Lập phiếu thu hoặc Lập phiếu chi (từ danh sách, từ công nợ hoặc từ chi tiết khách / NCC).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form /thu-chi/lap/thu hoặc /thu-chi/lap/chi; mang theo đối tác và đường quay lại (?back=) nếu có.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ngày (không sau hôm nay, không thuộc kỳ khoá sổ), loại thu chi, tài khoản nhận/chi tiền (mặc định tài khoản và loại mặc định), đối tác (ô chọn có tìm theo mã, tên, điện thoại).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gắn đối tác (khách / NCC) thì hiện khối công nợ hiện tại của đối tác.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số tiền và diễn giải.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số tiền bằng chữ trên bản in.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cách đối trừ: Tự động (cũ nhất trước) hoặc Chọn tay (nhập số tiền trừ vào từng chứng từ).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phần đối trừ tự động; phần dư là Trả trước; nếu đối tác không còn nợ, cả số tiền là trả trước.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phiếu.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Cấp số PT… / PC…; phiếu chi bị từ chối nếu tồn quỹ của tài khoản (tại ngày phiếu và hiện tại) không đủ, trừ người có quyền Chi vượt tồn quỹ; số dư tài khoản đổi; công nợ cập nhật; quay lại nơi gọi kèm thông báo.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 phiếu.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 in có số tiền bằng chữ và chữ ký.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29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phiếu, nhập lý do.</w:t>
            </w:r>
          </w:p>
        </w:tc>
        <w:tc>
          <w:tcPr>
            <w:tcW w:type="dxa" w:w="48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giữ lại (hiện khi bật "Hiện phiếu đã huỷ"); không tính vào số dư quỹ, báo cáo và đối trừ; công nợ tự mở lại. Huỷ phiếu thu làm tiền ra khỏi quỹ nên cũng kiểm tồn quỹ như phiếu chi.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Phân trang trên máy chủ (lúc đăng nhập nạp 90 ngày gần nhất; phiếu cũ đọc khi cần); thẻ tổng của kỳ tính trên máy chủ. Tìm không dấu số phiếu, đối tượng, diễn giải; lọc Thu hoặc chi, Hình thức (tiền mặt / chuyển khoản), Tài khoản, Loại thu chi, Người lập, Số tiền, Kỳ, "Hiện phiếu đã huỷ"; chip bộ lọc; tổng Tổng thu, Tổng chi, Thu − Chi trong kỳ, Tồn quỹ; xuất Excel; nút sang Tài khoản tiền và Loại thu chi. Cột: Số phiếu, Ngày, Loại, Đối tượng, Tài khoản, Số tiền, Đã đối trừ, Diễn giải, Người lập.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tài khoản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 số dư từng tài khoản tiền, kèm liên kết "Quản lý" sang Tài khoản tiền.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lập phiếu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thu / chi, Người nộp / khách hàng (hoặc Người nhận / nhà cung cấp), Tài khoản nhận / chi tiền, Ngày phiếu, Số tiền, Diễn giải; khối công nợ đối tác; ô đối trừ Tự động / Chọn tay với xem trước; thanh nút cố định ở chân.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Màn hình xem / in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phiếu, đơn / đợt giao nguồn (phiếu Thu tiền ngay), bảng đã đối trừ vào chứng từ nào, nút In phiếu (A4 / A5 / K80), Huỷ, tab Nhật ký.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5761"/>
        <w:gridCol w:w="2829"/>
      </w:tblGrid>
      <w:tr>
        <w:trPr>
          <w:cantSplit/>
          <w:tblHeader/>
        </w:trPr>
        <w:tc>
          <w:tcPr>
            <w:tcW w:type="dxa" w:w="1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5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Hiệu lực</w:t>
            </w:r>
          </w:p>
        </w:tc>
        <w:tc>
          <w:tcPr>
            <w:tcW w:type="dxa" w:w="5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Tính vào quỹ và đối trừ công nợ.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In; Huỷ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huỷ</w:t>
            </w:r>
          </w:p>
        </w:tc>
        <w:tc>
          <w:tcPr>
            <w:tcW w:type="dxa" w:w="5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tính; giữ để tra cứu, kèm lý do và thời điểm huỷ.</w:t>
            </w:r>
          </w:p>
        </w:tc>
        <w:tc>
          <w:tcPr>
            <w:tcW w:type="dxa" w:w="28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Phiếu thu</w:t>
      </w:r>
      <w:r>
        <w:rPr>
          <w:rFonts w:ascii="Arial" w:cs="Arial" w:eastAsia="Arial" w:hAnsi="Arial"/>
          <w:sz w:val="21"/>
          <w:szCs w:val="21"/>
        </w:rPr>
        <w:t xml:space="preserve"> (PT) tăng số dư tài khoản;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chi</w:t>
      </w:r>
      <w:r>
        <w:rPr>
          <w:rFonts w:ascii="Arial" w:cs="Arial" w:eastAsia="Arial" w:hAnsi="Arial"/>
          <w:sz w:val="21"/>
          <w:szCs w:val="21"/>
        </w:rPr>
        <w:t xml:space="preserve"> (PC) giảm. Số dư tài khoản = số dư đầu kỳ + thu − chi của phiếu chưa huỷ.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Đối tác:</w:t>
      </w:r>
      <w:r>
        <w:rPr>
          <w:rFonts w:ascii="Arial" w:cs="Arial" w:eastAsia="Arial" w:hAnsi="Arial"/>
          <w:sz w:val="21"/>
          <w:szCs w:val="21"/>
        </w:rPr>
        <w:t xml:space="preserve"> loại "Thu tiền khách hàng" gắn khách hàng và giảm công nợ phải thu; loại "Chi trả nhà cung cấp" gắn NCC và giảm công nợ phải trả; "Thu khác / Chi khác" không gắn đối tác, chỉ ghi sổ quỹ.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Đối trừ:</w:t>
      </w:r>
      <w:r>
        <w:rPr>
          <w:rFonts w:ascii="Arial" w:cs="Arial" w:eastAsia="Arial" w:hAnsi="Arial"/>
          <w:sz w:val="21"/>
          <w:szCs w:val="21"/>
        </w:rPr>
        <w:t xml:space="preserve"> phần Chọn tay trừ đúng chứng từ đã chọn trước; phần còn lại trừ khoản đến hạn sớm nhất trước (tiền phiếu cũ dùng trước); dư là Trả trước.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thu/chi theo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chiều ngược</w:t>
      </w:r>
      <w:r>
        <w:rPr>
          <w:rFonts w:ascii="Arial" w:cs="Arial" w:eastAsia="Arial" w:hAnsi="Arial"/>
          <w:sz w:val="21"/>
          <w:szCs w:val="21"/>
        </w:rPr>
        <w:t xml:space="preserve"> (đối tác hoàn tiền) tính như một khoản nợ — ăn vào số trả trước trước.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Không xoá phiếu — chỉ huỷ; phiếu huỷ không vào báo cáo.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Tài khoản ngừng dùng không chọn được khi lập phiếu mới (phiếu cũ giữ nguyên).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Đổi tên loại thu chi thì phiếu cũ đổi theo để thống kê không bị tách đôi (phiếu lưu tên loại).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số: thu / tăng xanh, chi / giảm đỏ; dấu trừ thật "−".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Không chi vượt tồn quỹ:</w:t>
      </w:r>
      <w:r>
        <w:rPr>
          <w:rFonts w:ascii="Arial" w:cs="Arial" w:eastAsia="Arial" w:hAnsi="Arial"/>
          <w:sz w:val="21"/>
          <w:szCs w:val="21"/>
        </w:rPr>
        <w:t xml:space="preserve"> phiếu chi, huỷ phiếu thu và bỏ chốt giao tự huỷ phiếu thu bị từ chối khi tồn quỹ của tài khoản (tại ngày phiếu và hiện tại) không đủ; quyền "Chi vượt tồn quỹ" cho qua và Nhật ký ghi lại.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Ngày phiếu</w:t>
      </w:r>
      <w:r>
        <w:rPr>
          <w:rFonts w:ascii="Arial" w:cs="Arial" w:eastAsia="Arial" w:hAnsi="Arial"/>
          <w:sz w:val="21"/>
          <w:szCs w:val="21"/>
        </w:rPr>
        <w:t xml:space="preserve"> không sau hôm nay (giờ Việt Nam); phiếu có ngày thuộc kỳ đã khoá sổ không lập và không huỷ được.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Phiếu thu tự lập</w:t>
      </w:r>
      <w:r>
        <w:rPr>
          <w:rFonts w:ascii="Arial" w:cs="Arial" w:eastAsia="Arial" w:hAnsi="Arial"/>
          <w:sz w:val="21"/>
          <w:szCs w:val="21"/>
        </w:rPr>
        <w:t xml:space="preserve"> ("Thu tiền ngay" của đơn bán) trỏ tới đơn và đợt giao; huỷ ở chứng từ gốc bằng bỏ chốt giao.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Hoàn tiền khách trả hàng (ATL-12) hoặc NCC hoàn tiền trả lại hàng mua (ATL-09) lập bằng phiếu chi / phiếu thu như thường.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2601"/>
        <w:gridCol w:w="3813"/>
      </w:tblGrid>
      <w:tr>
        <w:trPr>
          <w:cantSplit/>
          <w:tblHeader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PT / PC + 7 số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phiếu.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kind, date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/ CHI, ngày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phiếu và ngày.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category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loại thu chi.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partnerType, partnerId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KHACH_HANG / NHA_CUNG_CAP / KHAC, mã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Đối tác.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accountId, amount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Mã, số (₫)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tiền và số tiền.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settledAmount, allocations[]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Số, danh sách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Phần đã đối trừ; phần Chọn tay theo mã chứng từ (DN… / DH…).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salesOrderId, salesOrderDeliveryId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và đợt giao của phiếu "Thu tiền ngay".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description, createdBy, createdAt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Diễn giải, người lập.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isCancelled, cancelReason, cancelledAt</w:t>
            </w:r>
          </w:p>
        </w:tc>
        <w:tc>
          <w:tcPr>
            <w:tcW w:type="dxa" w:w="2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38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huỷ.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Tác động tới kho, công nợ,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8"/>
        <w:gridCol w:w="7740"/>
      </w:tblGrid>
      <w:tr>
        <w:trPr>
          <w:cantSplit/>
          <w:tblHeader/>
        </w:trPr>
        <w:tc>
          <w:tcPr>
            <w:tcW w:type="dxa" w:w="18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Sự kiện</w:t>
            </w:r>
          </w:p>
        </w:tc>
        <w:tc>
          <w:tcPr>
            <w:tcW w:type="dxa" w:w="7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Tác động</w:t>
            </w:r>
          </w:p>
        </w:tc>
      </w:tr>
      <w:tr>
        <w:trPr>
          <w:cantSplit/>
        </w:trPr>
        <w:tc>
          <w:tcPr>
            <w:tcW w:type="dxa" w:w="18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 thu</w:t>
            </w:r>
          </w:p>
        </w:tc>
        <w:tc>
          <w:tcPr>
            <w:tcW w:type="dxa" w:w="7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Quỹ tài khoản +; công nợ phải thu − (hoặc trả trước).</w:t>
            </w:r>
          </w:p>
        </w:tc>
      </w:tr>
      <w:tr>
        <w:trPr>
          <w:cantSplit/>
        </w:trPr>
        <w:tc>
          <w:tcPr>
            <w:tcW w:type="dxa" w:w="18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 chi</w:t>
            </w:r>
          </w:p>
        </w:tc>
        <w:tc>
          <w:tcPr>
            <w:tcW w:type="dxa" w:w="7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Quỹ tài khoản −; công nợ phải trả − (hoặc trả trước).</w:t>
            </w:r>
          </w:p>
        </w:tc>
      </w:tr>
      <w:tr>
        <w:trPr>
          <w:cantSplit/>
        </w:trPr>
        <w:tc>
          <w:tcPr>
            <w:tcW w:type="dxa" w:w="18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</w:t>
            </w:r>
          </w:p>
        </w:tc>
        <w:tc>
          <w:tcPr>
            <w:tcW w:type="dxa" w:w="7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Đảo quỹ; công nợ tự mở lại.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4600"/>
      </w:tblGrid>
      <w:tr>
        <w:trPr>
          <w:cantSplit/>
          <w:tblHeader/>
        </w:trPr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Nơi lập phiếu và nơi nhìn kết quả đối trừ.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tiền (ATL-17), Loại thu chi (ATL-18)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dùng khi lập phiếu.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 / Nhà cung cấp (ATL-11, ATL-08)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phiếu từ chi tiết đối tác.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(ATL-02), Báo cáo (ATL-03)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tiền, sổ quỹ, thu chi.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4"/>
        <w:gridCol w:w="5614"/>
      </w:tblGrid>
      <w:tr>
        <w:trPr>
          <w:cantSplit/>
          <w:tblHeader/>
        </w:trPr>
        <w:tc>
          <w:tcPr>
            <w:tcW w:type="dxa" w:w="4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5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4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tiền ≤ 0 hoặc thiếu tài khoản / đối tác</w:t>
            </w:r>
          </w:p>
        </w:tc>
        <w:tc>
          <w:tcPr>
            <w:tcW w:type="dxa" w:w="5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báo lỗi, không lưu.</w:t>
            </w:r>
          </w:p>
        </w:tc>
      </w:tr>
      <w:tr>
        <w:trPr>
          <w:cantSplit/>
        </w:trPr>
        <w:tc>
          <w:tcPr>
            <w:tcW w:type="dxa" w:w="4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tay vượt số tiền hoặc vượt nợ của chứng từ</w:t>
            </w:r>
          </w:p>
        </w:tc>
        <w:tc>
          <w:tcPr>
            <w:tcW w:type="dxa" w:w="5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ô đối trừ.</w:t>
            </w:r>
          </w:p>
        </w:tc>
      </w:tr>
      <w:tr>
        <w:trPr>
          <w:cantSplit/>
        </w:trPr>
        <w:tc>
          <w:tcPr>
            <w:tcW w:type="dxa" w:w="4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Đối tác không còn nợ</w:t>
            </w:r>
          </w:p>
        </w:tc>
        <w:tc>
          <w:tcPr>
            <w:tcW w:type="dxa" w:w="5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Toàn bộ số tiền ghi nhận là trả trước, có thông báo.</w:t>
            </w:r>
          </w:p>
        </w:tc>
      </w:tr>
      <w:tr>
        <w:trPr>
          <w:cantSplit/>
        </w:trPr>
        <w:tc>
          <w:tcPr>
            <w:tcW w:type="dxa" w:w="4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vượt số dư tài khoản</w:t>
            </w:r>
          </w:p>
        </w:tc>
        <w:tc>
          <w:tcPr>
            <w:tcW w:type="dxa" w:w="5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Từ chối, báo tồn quỹ hiện có; người có quyền Chi vượt tồn quỹ được lưu và Nhật ký ghi lại.</w:t>
            </w:r>
          </w:p>
        </w:tc>
      </w:tr>
      <w:tr>
        <w:trPr>
          <w:cantSplit/>
        </w:trPr>
        <w:tc>
          <w:tcPr>
            <w:tcW w:type="dxa" w:w="4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 phiếu sau hôm nay hoặc trong kỳ đã khoá sổ</w:t>
            </w:r>
          </w:p>
        </w:tc>
        <w:tc>
          <w:tcPr>
            <w:tcW w:type="dxa" w:w="5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Từ chối, báo lý do.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Bản in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thu / Phiếu chi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In khổ A4, A5 hoặc giấy nhiệt K80. Dạng phiếu điền thông tin có dòng chấm: họ tên người nộp/nhận, đơn vị, địa chỉ, lý do, số tiền (kèm hình thức), viết bằng chữ; ký: Giám đốc (ký, đóng dấu), Kế toán trưởng, Người nộp / nhận tiền, Người lập phiếu, Thủ quỹ.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đã huỷ in dấu "ĐÃ HUỶ".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Liên kết tới form có thể kèm ?supplierId= hoặc ?customerId= để chọn sẵn đối tác.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ATL-16 · Phiếu thu chi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ATL-16 — Phiếu thu chi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