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Tài khoản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ATL-17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/thu-chi/tai-khoan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nơi giữ tiền: quỹ tiền mặt và các tài khoản ngân hàng. Mỗi phiếu thu chi chọn một tài khoản; số dư tính tự động. Tài khoản ngân hàng khai mã BIN để in mã VietQR trên thông báo công nợ và tin nhắc nợ.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 (xem); voucher.manage_account (thêm, sửa, đặt mặc định, ngừng dùng).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tài khoản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số dư đầu kỳ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Đặt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Ngừng dùng khi đóng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230"/>
        <w:gridCol w:w="3648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42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6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tài khoản": tên, mã (TM, TCB-9999…), tính chất Tiền mặt / Chuyển khoản; với ngân hàng: chọn ngân hàng cho mã VietQR (điền mã BIN 6 số), tên ngân hàng in trên chứng từ, số tài khoản, chủ tài khoản, chi nhánh.</w:t>
            </w:r>
          </w:p>
        </w:tc>
        <w:tc>
          <w:tcPr>
            <w:tcW w:type="dxa" w:w="36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xuất hiện ở form phiếu thu chi; có ô "Xem thử mã VietQR" để quét bằng app ngân hàng kiểm tra đúng tài khoản.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dư đầu kỳ (số dư trước khi dùng phần mềm) và thứ tự hiển thị.</w:t>
            </w:r>
          </w:p>
        </w:tc>
        <w:tc>
          <w:tcPr>
            <w:tcW w:type="dxa" w:w="36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hiện tại = đầu kỳ + thu − chi.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"Chọn sẵn khi lập phiếu".</w:t>
            </w:r>
          </w:p>
        </w:tc>
        <w:tc>
          <w:tcPr>
            <w:tcW w:type="dxa" w:w="36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đó thành mặc định (hiện nhãn "Mặc định"); chỉ một tài khoản mặc định.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"Ngừng dùng" khi đóng tài khoản (nút bút chì để sửa).</w:t>
            </w:r>
          </w:p>
        </w:tc>
        <w:tc>
          <w:tcPr>
            <w:tcW w:type="dxa" w:w="36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phiếu cũ giữ nguyên, tài khoản không chọn được cho phiếu mới.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8197"/>
      </w:tblGrid>
      <w:tr>
        <w:trPr>
          <w:cantSplit/>
          <w:tblHeader/>
        </w:trPr>
        <w:tc>
          <w:tcPr>
            <w:tcW w:type="dxa" w:w="14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tài khoản</w:t>
            </w:r>
          </w:p>
        </w:tc>
        <w:tc>
          <w:tcPr>
            <w:tcW w:type="dxa" w:w="8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Thẻ/bảng: tên, loại, mã, đầu kỳ, số dư hiện tại, số phiếu (tính trên toàn bộ lịch sử), nhãn VietQR khi đã khai BIN, trạng thái, nút sửa / đặt mặc định / ngừng dùng; tổng số dư các tài khoản đang dùng.</w:t>
            </w:r>
          </w:p>
        </w:tc>
      </w:tr>
      <w:tr>
        <w:trPr>
          <w:cantSplit/>
        </w:trPr>
        <w:tc>
          <w:tcPr>
            <w:tcW w:type="dxa" w:w="14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81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tài khoản.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dư = số dư đầu kỳ + thu − chi của phiếu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huỷ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một tài khoản mặc định.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Ngừng dùng thay vì xoá.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đã huỷ không ảnh hưởng số dư.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Số dư không lưu sẵn mà tính khi đọc; phiếu chi không được làm số dư âm (ATL-16).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VietQR</w:t>
      </w:r>
      <w:r>
        <w:rPr>
          <w:rFonts w:ascii="Arial" w:cs="Arial" w:eastAsia="Arial" w:hAnsi="Arial"/>
          <w:sz w:val="21"/>
          <w:szCs w:val="21"/>
        </w:rPr>
        <w:t xml:space="preserve"> tạo ngay trên trình duyệt theo chuẩn NAPAS (không gọi dịch vụ ngoài) từ mã BIN + số tài khoản + số tiền + nội dung chuyển khoản.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0"/>
        <w:gridCol w:w="1424"/>
        <w:gridCol w:w="4184"/>
      </w:tblGrid>
      <w:tr>
        <w:trPr>
          <w:cantSplit/>
          <w:tblHeader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code, type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TIEN_MAT hoặc NGAN_HANG.</w:t>
            </w:r>
          </w:p>
        </w:tc>
      </w:tr>
      <w:tr>
        <w:trPr>
          <w:cantSplit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bankName, accountNumber, accountHolder, branch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ngân hàng.</w:t>
            </w:r>
          </w:p>
        </w:tc>
      </w:tr>
      <w:tr>
        <w:trPr>
          <w:cantSplit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bankBin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chữ số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BIN NAPAS của ngân hàng, dùng tạo mã VietQR.</w:t>
            </w:r>
          </w:p>
        </w:tc>
      </w:tr>
      <w:tr>
        <w:trPr>
          <w:cantSplit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openingBalance, balance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Đầu kỳ; hiện tại (suy ra).</w:t>
            </w:r>
          </w:p>
        </w:tc>
      </w:tr>
      <w:tr>
        <w:trPr>
          <w:cantSplit/>
        </w:trPr>
        <w:tc>
          <w:tcPr>
            <w:tcW w:type="dxa" w:w="40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sortOrder, note, isDefault, isActive</w:t>
            </w:r>
          </w:p>
        </w:tc>
        <w:tc>
          <w:tcPr>
            <w:tcW w:type="dxa" w:w="14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4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Thứ tự, ghi chú, mặc định, còn dùng.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6"/>
        <w:gridCol w:w="5452"/>
      </w:tblGrid>
      <w:tr>
        <w:trPr>
          <w:cantSplit/>
          <w:tblHeader/>
        </w:trPr>
        <w:tc>
          <w:tcPr>
            <w:tcW w:type="dxa" w:w="4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5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4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5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tài khoản khi lập phiếu; số dư cập nhật theo phiếu.</w:t>
            </w:r>
          </w:p>
        </w:tc>
      </w:tr>
      <w:tr>
        <w:trPr>
          <w:cantSplit/>
        </w:trPr>
        <w:tc>
          <w:tcPr>
            <w:tcW w:type="dxa" w:w="4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(ATL-15), Nhắc nợ (ATL-31)</w:t>
            </w:r>
          </w:p>
        </w:tc>
        <w:tc>
          <w:tcPr>
            <w:tcW w:type="dxa" w:w="5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VietQR trên thông báo công nợ và tin nhắc nợ.</w:t>
            </w:r>
          </w:p>
        </w:tc>
      </w:tr>
      <w:tr>
        <w:trPr>
          <w:cantSplit/>
        </w:trPr>
        <w:tc>
          <w:tcPr>
            <w:tcW w:type="dxa" w:w="41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5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nhận tiền của "Thu tiền ngay".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5"/>
        <w:gridCol w:w="5403"/>
      </w:tblGrid>
      <w:tr>
        <w:trPr>
          <w:cantSplit/>
          <w:tblHeader/>
        </w:trPr>
        <w:tc>
          <w:tcPr>
            <w:tcW w:type="dxa" w:w="4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5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 tài khoản mặc định</w:t>
            </w:r>
          </w:p>
        </w:tc>
        <w:tc>
          <w:tcPr>
            <w:tcW w:type="dxa" w:w="54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Phải đặt tài khoản khác làm mặc định.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Sổ quỹ gộp tồn quỹ đầu/cuối kỳ của mọi tài khoản; xem số dư từng tài khoản ở màn hình này.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ATL-17 · Tài khoản tiền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ATL-17 — Tài khoản tiền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