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Màu hiển thị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ATL-24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/thiet-lap/mau-hien-thi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Chọn màu cho các nhãn tính chất và trạng thái trên toàn hệ thống để người dùng nhận biết nhanh bằng màu. Trang chia theo nhóm nhãn (13 nhóm); mỗi nhóm có xem trước cả bộ nhãn trên nền sáng và nền tối.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trị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Xem: mọi người đã đăng nhập (màu áp cho mọi màn hình). Đổi màu: company.update (Sửa thông tin công ty).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nhóm nhãn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bộ nhãn trên nền sáng / tối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màu cho từng giá trị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Khôi phục mặc định (nếu cần)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4949"/>
        <w:gridCol w:w="2929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4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2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4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một nhóm ở cột trái (ví dụ Trạng thái đơn hàng bán). Mỗi nhóm hiện các chấm màu hiện tại và số mục đã đổi.</w:t>
            </w:r>
          </w:p>
        </w:tc>
        <w:tc>
          <w:tcPr>
            <w:tcW w:type="dxa" w:w="2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nhóm hiện ở bên phải.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4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khối "Nền sáng" và "Nền tối": toàn bộ nhãn của nhóm hiển thị cạnh nhau.</w:t>
            </w:r>
          </w:p>
        </w:tc>
        <w:tc>
          <w:tcPr>
            <w:tcW w:type="dxa" w:w="2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Đánh giá được độ hài hoà và độ rõ của cả bộ màu.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4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Với từng giá trị bấm một trong 12 ô màu (có Xám), hoặc bấm "Tuỳ chỉnh sắc độ" và kéo thanh trượt cầu vồng.</w:t>
            </w:r>
          </w:p>
        </w:tc>
        <w:tc>
          <w:tcPr>
            <w:tcW w:type="dxa" w:w="2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Nhãn đổi ngay ở mọi trang; dòng giá trị ghi tên màu và "đã đổi".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49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"Khôi phục mặc định" của nhóm hoặc "Khôi phục tất cả mặc định" ở đầu trang.</w:t>
            </w:r>
          </w:p>
        </w:tc>
        <w:tc>
          <w:tcPr>
            <w:tcW w:type="dxa" w:w="29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Bỏ các màu đã đổi.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8208"/>
      </w:tblGrid>
      <w:tr>
        <w:trPr>
          <w:cantSplit/>
          <w:tblHeader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nhóm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từng nhóm: tên, nhãn "N đã đổi", chuỗi chấm màu của các giá trị; màn hình dưới 1100 px thành dải cuộn ngang.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chi tiết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nhóm, mô tả nơi nhãn xuất hiện, nút Khôi phục mặc định; hai khung xem trước Nền sáng / Nền tối chứa cả bộ nhãn.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giá trị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dòng: nhãn, tên màu hiện tại, 12 ô màu chọn nhanh, "Tuỳ chỉnh sắc độ" mở thanh trượt (mỗi lần một dòng) kèm giá trị độ.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là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sắc độ (hue)</w:t>
      </w:r>
      <w:r>
        <w:rPr>
          <w:rFonts w:ascii="Arial" w:cs="Arial" w:eastAsia="Arial" w:hAnsi="Arial"/>
          <w:sz w:val="21"/>
          <w:szCs w:val="21"/>
        </w:rPr>
        <w:t xml:space="preserve"> cho từng giá trị, hoặc Xám; độ sáng và độ đậm cố định theo thiết kế nên luôn đủ tương phản ở cả nền sáng và nền tối.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Đổi màu chỉ đổi cách hiển thị, không đổi dữ liệu.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Một nhóm dùng cùng một công thức nhãn ở mọi màn hình để nhất quán.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được lưu ở máy chủ theo công ty — mọi người dùng thấy cùng một bộ màu; chỉ người có quyền Sửa thông tin công ty được đổi.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5"/>
        <w:gridCol w:w="4743"/>
      </w:tblGrid>
      <w:tr>
        <w:trPr>
          <w:cantSplit/>
          <w:tblHeader/>
        </w:trPr>
        <w:tc>
          <w:tcPr>
            <w:tcW w:type="dxa" w:w="48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47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48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danh sách có nhãn trạng thái</w:t>
            </w:r>
          </w:p>
        </w:tc>
        <w:tc>
          <w:tcPr>
            <w:tcW w:type="dxa" w:w="47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Chip trạng thái lấy màu từ đây.</w:t>
            </w:r>
          </w:p>
        </w:tc>
      </w:tr>
      <w:tr>
        <w:trPr>
          <w:cantSplit/>
        </w:trPr>
        <w:tc>
          <w:tcPr>
            <w:tcW w:type="dxa" w:w="48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đánh dấu (ATL-21)</w:t>
            </w:r>
          </w:p>
        </w:tc>
        <w:tc>
          <w:tcPr>
            <w:tcW w:type="dxa" w:w="47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Dùng chung bảng màu.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7"/>
        <w:gridCol w:w="4681"/>
      </w:tblGrid>
      <w:tr>
        <w:trPr>
          <w:cantSplit/>
          <w:tblHeader/>
        </w:trPr>
        <w:tc>
          <w:tcPr>
            <w:tcW w:type="dxa" w:w="49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46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49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màu trùng nhau giữa các giá trị</w:t>
            </w:r>
          </w:p>
        </w:tc>
        <w:tc>
          <w:tcPr>
            <w:tcW w:type="dxa" w:w="46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 phép; nhận biết bằng nhãn chữ.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Các nhóm nhãn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4"/>
        <w:gridCol w:w="2614"/>
      </w:tblGrid>
      <w:tr>
        <w:trPr>
          <w:cantSplit/>
          <w:tblHeader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Nhóm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Áp dụng ở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Tính chất hàng hoá (product-type)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kinh doanh (business-status)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khách (customer-type)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khách (customer-status)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nhà cung cấp (supplier-status)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Nhà cung cấp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đơn hàng bán (sales-order)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báo giá (quotation)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giá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đơn nhập (purchase-order)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lệnh sản xuất (production-order)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Lệnh sản xuất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chuyến (delivery-trip)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giao hàng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phiếu kho (warehouse-voucher)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Tình trạng xe (vehicle-status)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xe</w:t>
            </w:r>
          </w:p>
        </w:tc>
      </w:tr>
      <w:tr>
        <w:trPr>
          <w:cantSplit/>
        </w:trPr>
        <w:tc>
          <w:tcPr>
            <w:tcW w:type="dxa" w:w="7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người dùng (user-status)</w:t>
            </w:r>
          </w:p>
        </w:tc>
        <w:tc>
          <w:tcPr>
            <w:tcW w:type="dxa" w:w="2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Màu đã đổi được lưu ở máy chủ theo công ty và áp cho mọi người dùng; máy chủ kiểm tra từng khoá màu và giá trị trước khi lưu; chỉ màu đã đổi được lưu, phần còn lại theo mặc định.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Màu nhãn khác với màu phân hệ của menu (bán hàng xanh dương, kho cam, mua hàng tím, dòng tiền xanh ngọc, thiết lập xám xanh) — màu phân hệ cố định theo thiết kế.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ATL-24 · Màu hiển thị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ATL-24 — Màu hiển thị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