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Workflow tổng thể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ATL-00</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Toàn hệ thống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Toàn bộ các màn hình</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Mô tả chi tiết dòng đi của nghiệp vụ trong Ninh Trang ERP — từ lúc mua vật tư, nhập kho, sản xuất thành phẩm, bán hàng, giao hàng cho tới thu tiền và đối trừ công nợ — và chứng từ nào sinh ra ở bước nào, tác động tới tồn kho, công nợ, quỹ tiền ra sao.</w:t>
      </w:r>
    </w:p>
    <w:p>
      <w:pPr>
        <w:spacing w:after="100" w:before="0" w:line="300"/>
      </w:pPr>
      <w:r>
        <w:rPr>
          <w:rFonts w:ascii="Arial" w:cs="Arial" w:eastAsia="Arial" w:hAnsi="Arial"/>
          <w:sz w:val="21"/>
          <w:szCs w:val="21"/>
        </w:rPr>
        <w:t xml:space="preserve">Đây là tài liệu mẹ: mỗi chức năng có một tài liệu Atlas riêng (ATL-01 → ATL-24) mô tả sâu hơn; mục 8 là chỉ mục.</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CEO / Quản lý:</w:t>
      </w:r>
      <w:r>
        <w:rPr>
          <w:rFonts w:ascii="Arial" w:cs="Arial" w:eastAsia="Arial" w:hAnsi="Arial"/>
          <w:sz w:val="21"/>
          <w:szCs w:val="21"/>
        </w:rPr>
        <w:t xml:space="preserve"> xem toàn bộ, duyệt đơn và lệnh sản xuất.</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Sale:</w:t>
      </w:r>
      <w:r>
        <w:rPr>
          <w:rFonts w:ascii="Arial" w:cs="Arial" w:eastAsia="Arial" w:hAnsi="Arial"/>
          <w:sz w:val="21"/>
          <w:szCs w:val="21"/>
        </w:rPr>
        <w:t xml:space="preserve"> chăm sóc khách, chốt đơn hàng bán (đứng tên Người bán).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Kế toán:</w:t>
      </w:r>
      <w:r>
        <w:rPr>
          <w:rFonts w:ascii="Arial" w:cs="Arial" w:eastAsia="Arial" w:hAnsi="Arial"/>
          <w:sz w:val="21"/>
          <w:szCs w:val="21"/>
        </w:rPr>
        <w:t xml:space="preserve"> phiếu thu chi, công nợ, đối trừ, báo cáo tài chính.</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Thủ kho:</w:t>
      </w:r>
      <w:r>
        <w:rPr>
          <w:rFonts w:ascii="Arial" w:cs="Arial" w:eastAsia="Arial" w:hAnsi="Arial"/>
          <w:sz w:val="21"/>
          <w:szCs w:val="21"/>
        </w:rPr>
        <w:t xml:space="preserve"> phiếu nhập/xuất/chuyển kho, kiểm kê.</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Nhân viên giao hàng:</w:t>
      </w:r>
      <w:r>
        <w:rPr>
          <w:rFonts w:ascii="Arial" w:cs="Arial" w:eastAsia="Arial" w:hAnsi="Arial"/>
          <w:sz w:val="21"/>
          <w:szCs w:val="21"/>
        </w:rPr>
        <w:t xml:space="preserve"> chốt giao nhận, nhập số lượng khách thực nhận.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Nhân viên xưởng:</w:t>
      </w:r>
      <w:r>
        <w:rPr>
          <w:rFonts w:ascii="Arial" w:cs="Arial" w:eastAsia="Arial" w:hAnsi="Arial"/>
          <w:sz w:val="21"/>
          <w:szCs w:val="21"/>
        </w:rPr>
        <w:t xml:space="preserve"> cập nhật tiến độ lệnh sản xuất được giao.</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Hệ thống định nghĩa 23 nhóm quyền (người dùng, chức vụ, công ty, nhóm hàng, kho, thẻ, hàng hoá, giá, định mức, khách hàng, nhà cung cấp, tồn kho, phiếu kho, kiểm kê, đơn nhập hàng, đơn bán hàng, xe, chuyến giao hàng, lệnh sản xuất, công nợ, phiếu thu chi, tổng quan, báo cáo) — xem ATL-23.</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p>
      <w:pPr>
        <w:spacing w:after="100" w:before="0" w:line="300"/>
      </w:pPr>
      <w:r>
        <w:rPr>
          <w:rFonts w:ascii="Arial" w:cs="Arial" w:eastAsia="Arial" w:hAnsi="Arial"/>
          <w:sz w:val="21"/>
          <w:szCs w:val="21"/>
        </w:rPr>
        <w:t xml:space="preserve">Dòng chính của doanh nghiệp (mỗi hộp là một chứng từ hoặc một bước nghiệp vụ):</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Nhà cung cấp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nhập hàng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Nhận hàng → Phiếu nhập kho</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Tồn kho (vật tư)</w:t>
            </w:r>
          </w:p>
        </w:tc>
      </w:tr>
    </w:tbl>
    <w:p>
      <w:pPr>
        <w:spacing w:after="40" w:before="40" w:line="300"/>
        <w:jc w:val="center"/>
      </w:pPr>
      <w:r>
        <w:rPr>
          <w:rFonts w:ascii="Arial" w:cs="Arial" w:eastAsia="Arial" w:hAnsi="Arial"/>
          <w:color w:val="7F7F7F"/>
          <w:sz w:val="17"/>
          <w:szCs w:val="17"/>
        </w:rPr>
        <w:t xml:space="preserve">↓ tiếp theo</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hàng bán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Lệnh sản xuất (nếu có thành phẩm)</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Giao hàng (trực tiếp hoặc Chuyến giao hàng)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Phiếu thu → trừ Công nợ phải thu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Khai báo nhà cung cấp, danh mục hàng theo NCC (mã theo NCC, giá mua), số ngày được nợ.</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Nhà cung cấp sẵn sàng để lập đơn nhập.</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Đơn nhập hàng (Nháp) → Gửi NCC.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chưa đụng tới kho và công nợ.</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(đủ hoặc một phần) vào kho.</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Sinh phiếu nhập kho (mỗi kho một phiếu), tồn kho tăng theo ĐVT chính, ghi nhận Công nợ phải trả theo giá trị hàng đã nhận (gồm thuế).</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Phiếu chi cho nhà cung cấp.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trừ công nợ phải trả (cũ nhất trước hoặc chọn tay), phần dư là trả trước.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Đơn hàng bán cho khách (giá theo loại khách, chiết khấu, thuế GTGT theo dòng).</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Trạng thái đơn tự suy ra: Chờ sản xuất (nếu có thành phẩm chưa có lệnh) hoặc Chờ giao hàng.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 / 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Với dòng thành phẩm: bấm Lập lệnh sản xuất trên đơn.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Sinh Lệnh sản xuất (Nháp) chụp bản sao định mức tại thời điểm lập.</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7</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sản xuất → Hoàn tất (nhập số thực làm được).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xuất vật tư theo định mức. Hoàn tất: nhập thành phẩm vào Kho thành phẩm.</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8</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trực tiếp trên đơn, hoặc gom đơn vào Chuyến giao hàng → Xuất kho → Chốt giao từng đơn → Xe về kho → Hoàn tất.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hàng; chốt số khách thực nhận; ghi Công nợ phải thu theo số thực nhận; hàng không giao được nhập lại kho.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9</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Phiếu thu từ khách.</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trừ công nợ phải thu; tăng số dư tài khoản tiền.</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Theo dõi Tổng quan, Báo cáo, Tuổi nợ.</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Phát hiện công nợ quá hạn, hàng bán dưới giá vốn, khách ngừng mua, hàng dưới tồn tối thiểu.</w:t>
            </w:r>
          </w:p>
        </w:tc>
      </w:tr>
    </w:tbl>
    <w:p>
      <w:pPr>
        <w:pStyle w:val="Heading2"/>
        <w:keepNext/>
        <w:spacing w:after="80" w:before="200"/>
      </w:pPr>
      <w:r>
        <w:rPr>
          <w:rFonts w:ascii="Arial" w:cs="Arial" w:eastAsia="Arial" w:hAnsi="Arial"/>
          <w:b/>
          <w:bCs/>
          <w:color w:val="2F5496"/>
          <w:sz w:val="24"/>
          <w:szCs w:val="24"/>
        </w:rPr>
        <w:t xml:space="preserve">Quy trình A — Mua hàng &amp; trả tiền nhà cung cấp</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đơn nhập (Nháp)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Gửi NCC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Nhận hàng (một phần / đủ)</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Hoàn tất đơn</w:t>
            </w:r>
          </w:p>
        </w:tc>
      </w:tr>
    </w:tbl>
    <w:p>
      <w:pPr>
        <w:spacing w:after="40" w:before="40" w:line="300"/>
        <w:jc w:val="center"/>
      </w:pPr>
      <w:r>
        <w:rPr>
          <w:rFonts w:ascii="Arial" w:cs="Arial" w:eastAsia="Arial" w:hAnsi="Arial"/>
          <w:color w:val="7F7F7F"/>
          <w:sz w:val="17"/>
          <w:szCs w:val="17"/>
        </w:rPr>
        <w:t xml:space="preserve">↓ tiếp theo</w:t>
      </w: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Phiếu chi trả NCC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NCC, thêm dòng hàng (ĐVT chính hoặc quy đổi, thuế 0/5/8/10%).</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ở trạng thái Nháp, còn sửa được.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Gửi NCC.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Đã gửi NCC; không còn sửa nội dung đơn.</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nhập số lượng thực nhận từng dòng và kho nhập.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kho theo từng kho; tồn tăng; công nợ phải trả = giá trị hàng đã nhận; hạn = ngày nhập + số ngày được nợ của NCC. Trạng thái: Nhận một phần hoặc Đã nhận đủ.</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đơn (đã nhận đủ, hoặc chốt ngắn khi nhận một phần).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đóng.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trả → Lập phiếu chi (hoặc Thu chi → Lập phiếu chi).</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trừ vào khoản đến hạn sớm nhất trước; có thể Chọn tay chứng từ cần trừ.</w:t>
            </w:r>
          </w:p>
        </w:tc>
      </w:tr>
    </w:tbl>
    <w:p>
      <w:pPr>
        <w:pStyle w:val="Heading2"/>
        <w:keepNext/>
        <w:spacing w:after="80" w:before="200"/>
      </w:pPr>
      <w:r>
        <w:rPr>
          <w:rFonts w:ascii="Arial" w:cs="Arial" w:eastAsia="Arial" w:hAnsi="Arial"/>
          <w:b/>
          <w:bCs/>
          <w:color w:val="2F5496"/>
          <w:sz w:val="24"/>
          <w:szCs w:val="24"/>
        </w:rPr>
        <w:t xml:space="preserve">Quy trình B — Sản xuất thành phẩm từ đơn bán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bán có dòng thành phẩm</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lệnh sản xuất (Nháp)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Bắt đầu: xuất vật tư</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Hoàn tất: nhập thành phẩm</w:t>
            </w:r>
          </w:p>
        </w:tc>
      </w:tr>
    </w:tbl>
    <w:p>
      <w:pPr>
        <w:spacing w:after="40" w:before="40" w:line="300"/>
        <w:jc w:val="center"/>
      </w:pPr>
      <w:r>
        <w:rPr>
          <w:rFonts w:ascii="Arial" w:cs="Arial" w:eastAsia="Arial" w:hAnsi="Arial"/>
          <w:color w:val="7F7F7F"/>
          <w:sz w:val="17"/>
          <w:szCs w:val="17"/>
        </w:rPr>
        <w:t xml:space="preserve">↓ tiếp theo</w:t>
      </w: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chuyển Chờ giao hàng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đơn hàng bán → Lập lệnh sản xuất.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dòng thành phẩm chưa có lệnh sinh một lệnh Nháp; định mức được chụp lại.</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 / 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sản xuất.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vật tư theo định mức × số lượng từ kho ngầm định của từng vật tư (một phiếu xuất cho mỗi kho). Thiếu tồn vẫn xuất (tồn âm) và được cảnh báo.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 / 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nhập số thực làm được.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kho Kho thành phẩm đúng số thực làm được (hàng hỏng làm số này nhỏ hơn số lệnh; bằng 0 thì không nhập).</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Tự cập nhật trạng thái đơn bán.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Chờ sản xuất → Đang sản xuất → Chờ giao hàng.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lệnh (nếu cần).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Vật tư đã xuất không tự nhập lại — lập phiếu nhập kho nếu còn dùng được.</w:t>
            </w:r>
          </w:p>
        </w:tc>
      </w:tr>
    </w:tbl>
    <w:p>
      <w:pPr>
        <w:pStyle w:val="Heading2"/>
        <w:keepNext/>
        <w:spacing w:after="80" w:before="200"/>
      </w:pPr>
      <w:r>
        <w:rPr>
          <w:rFonts w:ascii="Arial" w:cs="Arial" w:eastAsia="Arial" w:hAnsi="Arial"/>
          <w:b/>
          <w:bCs/>
          <w:color w:val="2F5496"/>
          <w:sz w:val="24"/>
          <w:szCs w:val="24"/>
        </w:rPr>
        <w:t xml:space="preserve">Quy trình C — Giao hàng bằng Chuyến giao hàng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Đang gom đơn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Xuất kho một lượt</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Chốt giao từng đơn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Xe đã về kho</w:t>
            </w:r>
          </w:p>
        </w:tc>
      </w:tr>
    </w:tbl>
    <w:p>
      <w:pPr>
        <w:spacing w:after="40" w:before="40" w:line="300"/>
        <w:jc w:val="center"/>
      </w:pPr>
      <w:r>
        <w:rPr>
          <w:rFonts w:ascii="Arial" w:cs="Arial" w:eastAsia="Arial" w:hAnsi="Arial"/>
          <w:color w:val="7F7F7F"/>
          <w:sz w:val="17"/>
          <w:szCs w:val="17"/>
        </w:rPr>
        <w:t xml:space="preserve">↓ tiếp theo</w:t>
      </w: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Hoàn tất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Tạo chuyến, chọn xe/tài xế, gom các đơn còn hàng phải giao.</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không nằm trên hai chuyến đang chạy cùng lúc.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 / 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một lượt.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Xếp toàn bộ phần còn phải giao lên xe; một phiếu xuất kho cho mỗi kho; đơn chuyển Đang giao.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Chốt giao từng đơn: nhập số khách thực nhận từng dòng (≤ số đã xếp).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Ghi Công nợ phải thu theo số thực nhận; có thể Bỏ chốt trước khi xe về kho.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về kho: nhập lại hàng khách không nhận.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"Nhập trả về" vào đúng kho đã xuất.</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chuyến; nhập chi phí xe (xăng, cầu đường, khác).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 phí chuyến dùng cho báo cáo Chi phí xe.</w:t>
            </w:r>
          </w:p>
        </w:tc>
      </w:tr>
    </w:tbl>
    <w:p>
      <w:pPr>
        <w:pStyle w:val="Heading2"/>
        <w:keepNext/>
        <w:spacing w:after="80" w:before="200"/>
      </w:pPr>
      <w:r>
        <w:rPr>
          <w:rFonts w:ascii="Arial" w:cs="Arial" w:eastAsia="Arial" w:hAnsi="Arial"/>
          <w:b/>
          <w:bCs/>
          <w:color w:val="2F5496"/>
          <w:sz w:val="24"/>
          <w:szCs w:val="24"/>
        </w:rPr>
        <w:t xml:space="preserve">Quy trình D — Thu tiền khách &amp; đối trừ công nợ</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giao xong (công nợ phát sinh)</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Phiếu thu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Đối trừ (tự động / chọn tay)</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Số dư công nợ &amp; Tuổi nợ</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 Lập phiếu thu cho khách.</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chọn tài khoản tiền, loại thu, số tiền.</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trừ: phần Chọn tay trừ đúng chứng từ đã chọn; phần còn lại trừ khoản đến hạn sớm nhất trước.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Dư không gán được là Trả trước (số dư âm trên công nợ).</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nếu lập nhầm.</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huỷ vẫn lưu, không tính vào quỹ/báo cáo; công nợ tự mở lại.</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Tuổi nợ.</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Khoản chưa đến hạn / quá hạn 1–30 / 31–60 / 61–90 / trên 90 ngày.</w:t>
            </w:r>
          </w:p>
        </w:tc>
      </w:tr>
    </w:tbl>
    <w:p>
      <w:pPr>
        <w:pStyle w:val="Heading2"/>
        <w:keepNext/>
        <w:spacing w:after="80" w:before="200"/>
      </w:pPr>
      <w:r>
        <w:rPr>
          <w:rFonts w:ascii="Arial" w:cs="Arial" w:eastAsia="Arial" w:hAnsi="Arial"/>
          <w:b/>
          <w:bCs/>
          <w:color w:val="2F5496"/>
          <w:sz w:val="24"/>
          <w:szCs w:val="24"/>
        </w:rPr>
        <w:t xml:space="preserve">Quy trình E — Phiếu kho lập tay (nhập, xuất, chuyển, kiểm kê)</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loại phiếu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kho &amp; hàng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Lưu phiếu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Tồn kho cập nhật</w:t>
            </w:r>
          </w:p>
        </w:tc>
      </w:tr>
    </w:tbl>
    <w:p>
      <w:pPr>
        <w:spacing w:after="40" w:before="40" w:line="300"/>
        <w:jc w:val="center"/>
      </w:pPr>
      <w:r>
        <w:rPr>
          <w:rFonts w:ascii="Arial" w:cs="Arial" w:eastAsia="Arial" w:hAnsi="Arial"/>
          <w:color w:val="7F7F7F"/>
          <w:sz w:val="17"/>
          <w:szCs w:val="17"/>
        </w:rPr>
        <w:t xml:space="preserve">↓ tiếp theo</w:t>
      </w:r>
    </w:p>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Huỷ phiếu (nếu nhầm)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 → Lập phiếu → chọn Nhập / Xuất / Chuyển / Kiểm kê.</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phiếu cấp khi lưu: PNK, PXK, PCK, PKK.</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kho, thêm dòng hàng, nhập số lượng (kiểm kê: nhập số thực đếm).</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tồn tại kho ngay trên dòng; xuất/chuyển vượt tồn bị cảnh báo nhưng vẫn lưu được.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Nhập +; Xuất −; Chuyển − kho xuất và + kho nhận; Kiểm kê điều chỉnh theo chênh lệch (thực đếm − sổ sách).</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lập tay.</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trả về như trước khi lập. Phiếu sinh từ chứng từ khác (đơn nhập, lệnh sản xuất, chuyến giao hàng…) phải huỷ ở chứng từ gốc.</w:t>
            </w:r>
          </w:p>
        </w:tc>
      </w:tr>
    </w:tbl>
    <w:p>
      <w:pPr>
        <w:pStyle w:val="Heading1"/>
        <w:keepNext/>
        <w:spacing w:after="120" w:before="320"/>
      </w:pPr>
      <w:r>
        <w:rPr>
          <w:rFonts w:ascii="Arial" w:cs="Arial" w:eastAsia="Arial" w:hAnsi="Arial"/>
          <w:b/>
          <w:bCs/>
          <w:color w:val="1F3864"/>
          <w:sz w:val="28"/>
          <w:szCs w:val="28"/>
        </w:rPr>
        <w:t xml:space="preserve">3.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ATL-01 → ATL-24</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tài liệu mô tả riêng một chức năng; tài liệu này là bản đồ nối chúng.</w:t>
            </w:r>
          </w:p>
        </w:tc>
      </w:tr>
    </w:tbl>
    <w:p>
      <w:pPr>
        <w:pStyle w:val="Heading1"/>
        <w:keepNext/>
        <w:spacing w:after="120" w:before="320"/>
      </w:pPr>
      <w:r>
        <w:rPr>
          <w:rFonts w:ascii="Arial" w:cs="Arial" w:eastAsia="Arial" w:hAnsi="Arial"/>
          <w:b/>
          <w:bCs/>
          <w:color w:val="1F3864"/>
          <w:sz w:val="28"/>
          <w:szCs w:val="28"/>
        </w:rPr>
        <w:t xml:space="preserve">4. Vòng đời các chứng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240"/>
        <w:gridCol w:w="3278"/>
      </w:tblGrid>
      <w:tr>
        <w:trPr>
          <w:cantSplit/>
          <w:tblHeader/>
        </w:trPr>
        <w:tc>
          <w:tcPr>
            <w:tcW w:type="dxa" w:w="21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Chứng từ</w:t>
            </w:r>
          </w:p>
        </w:tc>
        <w:tc>
          <w:tcPr>
            <w:tcW w:type="dxa" w:w="42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Chuỗi trạng thái</w:t>
            </w:r>
          </w:p>
        </w:tc>
        <w:tc>
          <w:tcPr>
            <w:tcW w:type="dxa" w:w="32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Điểm cần nhớ</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(DN…)</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Nháp → Đã gửi NCC → Nhận một phần / Đã nhận đủ → Hoàn tất; nhánh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Chỉ Nháp mới sửa được; Huỷ chỉ khi chưa nhận hàng.</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(DH…)</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Chờ sản xuất → Đang sản xuất → Chờ giao hàng → Đang giao → Hoàn thành / Giao một phần / Trả toàn bộ;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Trạng thái tự suy ra từ giao hàng và sản xuất; "Kết thúc đơn" cho đơn Giao một phần.</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 (LSX…)</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Nháp → Đang sản xuất → Hoàn tất; nhánh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được khi Nháp hoặc Đang sản xuất.</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giao hàng (CH…)</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gom đơn → Đã xuất kho → Xe đã về kho → Hoàn tất; nhánh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chỉ khi chưa xuất kho.</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Hiệu lực → Đã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xoá; huỷ chỉ với phiếu lập tay.</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Hiệu lực → Đã huỷ</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huỷ không tính vào quỹ, báo cáo, đối trừ công nợ.</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dùng / Bảo trì / Ngừng dùng</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xoá, giữ lịch sử chuyến.</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 / Nhà cung cấp</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theo dõi (Còn hợp tác) ↔ Ngừng theo dõi (Ngừng hợp tác)</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xoá, giữ đơn và công nợ.</w:t>
            </w:r>
          </w:p>
        </w:tc>
      </w:tr>
      <w:tr>
        <w:trPr>
          <w:cantSplit/>
        </w:trP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người dùng</w:t>
            </w:r>
          </w:p>
        </w:tc>
        <w:tc>
          <w:tcPr>
            <w:tcW w:type="dxa" w:w="42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Hoạt động ↔ Bị khoá</w:t>
            </w:r>
          </w:p>
        </w:tc>
        <w:tc>
          <w:tcPr>
            <w:tcW w:type="dxa" w:w="32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Khoá = không xoá, đăng xuất mọi phiên.</w:t>
            </w:r>
          </w:p>
        </w:tc>
      </w:tr>
    </w:tbl>
    <w:p>
      <w:pPr>
        <w:pStyle w:val="Heading1"/>
        <w:keepNext/>
        <w:spacing w:after="120" w:before="320"/>
      </w:pPr>
      <w:r>
        <w:rPr>
          <w:rFonts w:ascii="Arial" w:cs="Arial" w:eastAsia="Arial" w:hAnsi="Arial"/>
          <w:b/>
          <w:bCs/>
          <w:color w:val="1F3864"/>
          <w:sz w:val="28"/>
          <w:szCs w:val="28"/>
        </w:rPr>
        <w:t xml:space="preserve">5. Ma trận tác động của chứng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853"/>
        <w:gridCol w:w="2224"/>
        <w:gridCol w:w="1112"/>
        <w:gridCol w:w="2040"/>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Sự kiện</w:t>
            </w:r>
          </w:p>
        </w:tc>
        <w:tc>
          <w:tcPr>
            <w:tcW w:type="dxa" w:w="18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Tồn kho</w:t>
            </w:r>
          </w:p>
        </w:tc>
        <w:tc>
          <w:tcPr>
            <w:tcW w:type="dxa" w:w="22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Công nợ</w:t>
            </w:r>
          </w:p>
        </w:tc>
        <w:tc>
          <w:tcPr>
            <w:tcW w:type="dxa" w:w="111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Quỹ tiền</w:t>
            </w:r>
          </w:p>
        </w:tc>
        <w:tc>
          <w:tcPr>
            <w:tcW w:type="dxa" w:w="204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Chứng từ sinh ra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đơn nhập</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(ĐVT chính)</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Phải trả +</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kho / kho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sản xuất</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vật tư</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kho / kho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sản xuất</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thành phẩm (số thực)</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Kho thành phẩm</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trực tiếp / xuất chuyến</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hàng</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Phải thu + (theo số thực nhận)</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kho / kho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về kho</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hàng khách không nhận</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đổi (đã ghi theo số thực nhận)</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trả về</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Phải thu − (hoặc trả trước)</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chi</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Phải trả − (hoặc trả trước)</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chi</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Kiểm kê</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chỉnh theo chênh lệch</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kiểm kê</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kho</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 kho xuất, + kho nhận</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chuyển kho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kho lập tay / phiếu thu chi</w:t>
            </w:r>
          </w:p>
        </w:tc>
        <w:tc>
          <w:tcPr>
            <w:tcW w:type="dxa" w:w="18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Đảo lại</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lại công nợ đã đối trừ</w:t>
            </w:r>
          </w:p>
        </w:tc>
        <w:tc>
          <w:tcPr>
            <w:tcW w:type="dxa" w:w="11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Đảo lại</w:t>
            </w:r>
          </w:p>
        </w:tc>
        <w:tc>
          <w:tcPr>
            <w:tcW w:type="dxa" w:w="20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Giữ phiếu, đánh dấu Đã huỷ</w:t>
            </w:r>
          </w:p>
        </w:tc>
      </w:tr>
    </w:tbl>
    <w:p>
      <w:pPr>
        <w:pStyle w:val="Heading1"/>
        <w:keepNext/>
        <w:spacing w:after="120" w:before="320"/>
      </w:pPr>
      <w:r>
        <w:rPr>
          <w:rFonts w:ascii="Arial" w:cs="Arial" w:eastAsia="Arial" w:hAnsi="Arial"/>
          <w:b/>
          <w:bCs/>
          <w:color w:val="1F3864"/>
          <w:sz w:val="28"/>
          <w:szCs w:val="28"/>
        </w:rPr>
        <w:t xml:space="preserve">6. Mã chứng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9"/>
        <w:gridCol w:w="2409"/>
        <w:gridCol w:w="2210"/>
      </w:tblGrid>
      <w:tr>
        <w:trPr>
          <w:cantSplit/>
          <w:tblHeader/>
        </w:trPr>
        <w:tc>
          <w:tcPr>
            <w:tcW w:type="dxa" w:w="50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Loại</w:t>
            </w:r>
          </w:p>
        </w:tc>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Tiền tố</w:t>
            </w:r>
          </w:p>
        </w:tc>
        <w:tc>
          <w:tcPr>
            <w:tcW w:type="dxa" w:w="22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Ví dụ</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 vật tư / thành phẩm / dịch vụ</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VT / SP / DV</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VT0000008</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KH0000004</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DN</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DN0000009</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DH</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DH0000014</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LSX</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LSX0000039</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giao hàng</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CH0000008</w:t>
            </w:r>
          </w:p>
        </w:tc>
      </w:tr>
      <w:tr>
        <w:trPr>
          <w:cantSplit/>
        </w:trPr>
        <w:tc>
          <w:tcPr>
            <w:tcW w:type="dxa" w:w="50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 xuất / chuyển / kiểm kê kho</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PNK / PXK / PCK / PKK</w:t>
            </w:r>
          </w:p>
        </w:tc>
        <w:tc>
          <w:tcPr>
            <w:tcW w:type="dxa" w:w="22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PXK0000051</w:t>
            </w:r>
          </w:p>
        </w:tc>
      </w:tr>
    </w:tbl>
    <w:p>
      <w:pPr>
        <w:spacing w:after="100" w:before="60" w:line="300"/>
      </w:pPr>
      <w:r>
        <w:rPr>
          <w:rFonts w:ascii="Arial" w:cs="Arial" w:eastAsia="Arial" w:hAnsi="Arial"/>
          <w:sz w:val="21"/>
          <w:szCs w:val="21"/>
        </w:rPr>
        <w:t xml:space="preserve">Mã cấp tăng dần, 7 chữ số, cấp khi lưu.</w:t>
      </w:r>
    </w:p>
    <w:p>
      <w:pPr>
        <w:pStyle w:val="Heading1"/>
        <w:keepNext/>
        <w:spacing w:after="120" w:before="320"/>
      </w:pPr>
      <w:r>
        <w:rPr>
          <w:rFonts w:ascii="Arial" w:cs="Arial" w:eastAsia="Arial" w:hAnsi="Arial"/>
          <w:b/>
          <w:bCs/>
          <w:color w:val="1F3864"/>
          <w:sz w:val="28"/>
          <w:szCs w:val="28"/>
        </w:rPr>
        <w:t xml:space="preserve">7. Quy tắc xuyên suốt</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Không xoá chứng từ — chỉ huỷ hoặc ngừng dùng.</w:t>
      </w:r>
      <w:r>
        <w:rPr>
          <w:rFonts w:ascii="Arial" w:cs="Arial" w:eastAsia="Arial" w:hAnsi="Arial"/>
          <w:sz w:val="21"/>
          <w:szCs w:val="21"/>
        </w:rPr>
        <w:t xml:space="preserve"> Khách, NCC, xe, thẻ, tài khoản tiền, người dùng đều đổi trạng thái thay vì xoá để giữ lịch sử.</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Tồn kho tính theo ĐVT chính.</w:t>
      </w:r>
      <w:r>
        <w:rPr>
          <w:rFonts w:ascii="Arial" w:cs="Arial" w:eastAsia="Arial" w:hAnsi="Arial"/>
          <w:sz w:val="21"/>
          <w:szCs w:val="21"/>
        </w:rPr>
        <w:t xml:space="preserve"> Số lượng nhập theo ĐVT quy đổi (bó, thùng…) được quy về ĐVT chính khi ghi tồn bằng tỷ lệ quy đổi.</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Mọi hàng hoá trừ Dịch vụ đều có tồn kho.</w:t>
      </w:r>
      <w:r>
        <w:rPr>
          <w:rFonts w:ascii="Arial" w:cs="Arial" w:eastAsia="Arial" w:hAnsi="Arial"/>
          <w:sz w:val="21"/>
          <w:szCs w:val="21"/>
        </w:rPr>
        <w:t xml:space="preserve"> Vật tư nhập từ nhà cung cấp; Thành phẩm (m² hoặc m, cắt theo đơn) tăng khi lệnh sản xuất hoàn tất (vào Kho thành phẩm) và giảm khi giao hàng. Dịch vụ không có tồn. Form hàng hoá không hiện Kho ngầm định / Tồn tối thiểu cho Thành phẩm và Dịch vụ.</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Tồn âm được giữ nguyên</w:t>
      </w:r>
      <w:r>
        <w:rPr>
          <w:rFonts w:ascii="Arial" w:cs="Arial" w:eastAsia="Arial" w:hAnsi="Arial"/>
          <w:sz w:val="21"/>
          <w:szCs w:val="21"/>
        </w:rPr>
        <w:t xml:space="preserve">, không làm tròn về 0; xuất vượt tồn chỉ cảnh báo.</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Doanh thu và công nợ phải thu ghi theo số khách THỰC NHẬN</w:t>
      </w:r>
      <w:r>
        <w:rPr>
          <w:rFonts w:ascii="Arial" w:cs="Arial" w:eastAsia="Arial" w:hAnsi="Arial"/>
          <w:sz w:val="21"/>
          <w:szCs w:val="21"/>
        </w:rPr>
        <w:t xml:space="preserve">, không theo số đặt. Chiết khấu cả đơn chia về từng dòng theo tỷ lệ giá trị.</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Công nợ phải trả ghi theo hàng ĐÃ NHẬN</w:t>
      </w:r>
      <w:r>
        <w:rPr>
          <w:rFonts w:ascii="Arial" w:cs="Arial" w:eastAsia="Arial" w:hAnsi="Arial"/>
          <w:sz w:val="21"/>
          <w:szCs w:val="21"/>
        </w:rPr>
        <w:t xml:space="preserve"> của đơn nhập, không theo lúc đặt đơn.</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Tiền VND làm tròn đến đồng.</w:t>
      </w:r>
      <w:r>
        <w:rPr>
          <w:rFonts w:ascii="Arial" w:cs="Arial" w:eastAsia="Arial" w:hAnsi="Arial"/>
          <w:sz w:val="21"/>
          <w:szCs w:val="21"/>
        </w:rPr>
        <w:t xml:space="preserve"> Dòng cuối nhận phần dư làm tròn để tổng chia khớp tuyệt đối.</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Số tiền dương/âm có màu:</w:t>
      </w:r>
      <w:r>
        <w:rPr>
          <w:rFonts w:ascii="Arial" w:cs="Arial" w:eastAsia="Arial" w:hAnsi="Arial"/>
          <w:sz w:val="21"/>
          <w:szCs w:val="21"/>
        </w:rPr>
        <w:t xml:space="preserve"> xanh cho thu/tăng, đỏ cho chi/giảm/âm; dấu trừ hiển thị là "−".</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Chứng từ lập từ màn hình khác mang tham số quay lại (?back=)</w:t>
      </w:r>
      <w:r>
        <w:rPr>
          <w:rFonts w:ascii="Arial" w:cs="Arial" w:eastAsia="Arial" w:hAnsi="Arial"/>
          <w:sz w:val="21"/>
          <w:szCs w:val="21"/>
        </w:rPr>
        <w:t xml:space="preserve"> và quay về đúng nơi gọi kèm thông báo.</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Mọi thao tác ghi đi qua service</w:t>
      </w:r>
      <w:r>
        <w:rPr>
          <w:rFonts w:ascii="Arial" w:cs="Arial" w:eastAsia="Arial" w:hAnsi="Arial"/>
          <w:sz w:val="21"/>
          <w:szCs w:val="21"/>
        </w:rPr>
        <w:t xml:space="preserve">, ánh xạ 1:1 sang endpoint backend sau này; dữ liệu demo sinh từ tools/gen-demo-data.mjs.</w:t>
      </w:r>
    </w:p>
    <w:p>
      <w:pPr>
        <w:pStyle w:val="Heading1"/>
        <w:keepNext/>
        <w:spacing w:after="120" w:before="320"/>
      </w:pPr>
      <w:r>
        <w:rPr>
          <w:rFonts w:ascii="Arial" w:cs="Arial" w:eastAsia="Arial" w:hAnsi="Arial"/>
          <w:b/>
          <w:bCs/>
          <w:color w:val="1F3864"/>
          <w:sz w:val="28"/>
          <w:szCs w:val="28"/>
        </w:rPr>
        <w:t xml:space="preserve">8. Chỉ mục tài liệu Atlas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3413"/>
        <w:gridCol w:w="1807"/>
        <w:gridCol w:w="3415"/>
      </w:tblGrid>
      <w:tr>
        <w:trPr>
          <w:cantSplit/>
          <w:tblHeader/>
        </w:trPr>
        <w:tc>
          <w:tcPr>
            <w:tcW w:type="dxa" w:w="100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18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34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ATL-01</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 &amp; phiên làm việc</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/login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ATL-02</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Tổng quan</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Tổng quan</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/tong-quan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ATL-03</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cáo</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cáo</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/bao-cao</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ATL-04</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 &amp; định mức</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/hang-hoa</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ATL-05</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kho</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/kho/ton-kho</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ATL-06</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/kho/phieu</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ATL-07</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/san-xuat</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ATL-08</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Nhà cung cấp</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/nha-cung-cap</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ATL-09</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/mua-hang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ATL-10</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trả</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/cong-no/nha-cung-cap</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ATL-11</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/khach-hang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ATL-12</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/don-hang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ATL-13</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giao hàng</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/giao-hang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ATL-14</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mục xe</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ATL-15</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/cong-no/khach-hang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ATL-16</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 chi</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tiền</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/thu-chi</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ATL-17</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tiền</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tiền</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/thu-chi/tai-khoan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ATL-18</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Loại thu chi</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tiền</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/thu-chi/loai</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ATL-19</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Tuổi nợ</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tiền</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/cong-no/tuoi-no</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ATL-20</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Thông tin công ty</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/thiet-lap/cong-ty</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ATL-21</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Thẻ đánh dấu</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/thiet-lap/the</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ATL-22</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/thiet-lap/nguoi-dung</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ATL-23</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&amp; phân quyền</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/thiet-lap/chuc-vu</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ATL-24</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Màu hiển thị</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/thiet-lap/mau-hien-thi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3413"/>
        <w:gridCol w:w="1807"/>
        <w:gridCol w:w="3415"/>
      </w:tblGrid>
      <w:tr>
        <w:trPr>
          <w:cantSplit/>
          <w:tblHeader/>
        </w:trPr>
        <w:tc>
          <w:tcPr>
            <w:tcW w:type="dxa" w:w="100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18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34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ATL-25</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hoặc tạo nhanh &amp; mật độ hiển thị</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Thanh trên cùng (Ctrl K)</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ATL-26</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in (khuôn in chung)</w:t>
            </w:r>
          </w:p>
        </w:tc>
        <w:tc>
          <w:tcPr>
            <w:tcW w:type="dxa" w:w="18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4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Nút In ở các màn hình chứng từ</w:t>
            </w:r>
          </w:p>
        </w:tc>
      </w:tr>
    </w:tbl>
    <w:p>
      <w:pPr>
        <w:pStyle w:val="Heading1"/>
        <w:keepNext/>
        <w:spacing w:after="120" w:before="320"/>
      </w:pPr>
      <w:r>
        <w:rPr>
          <w:rFonts w:ascii="Arial" w:cs="Arial" w:eastAsia="Arial" w:hAnsi="Arial"/>
          <w:b/>
          <w:bCs/>
          <w:color w:val="1F3864"/>
          <w:sz w:val="28"/>
          <w:szCs w:val="28"/>
        </w:rPr>
        <w:t xml:space="preserve">9. Ghi chú &amp; giới hạn hiện tại</w:t>
      </w:r>
    </w:p>
    <w:p>
      <w:pPr>
        <w:pStyle w:val="ListParagraph"/>
        <w:numPr>
          <w:ilvl w:val="0"/>
          <w:numId w:val="2"/>
        </w:numPr>
        <w:spacing w:after="60" w:line="290"/>
      </w:pPr>
      <w:r>
        <w:rPr>
          <w:rFonts w:ascii="Arial" w:cs="Arial" w:eastAsia="Arial" w:hAnsi="Arial"/>
          <w:sz w:val="21"/>
          <w:szCs w:val="21"/>
        </w:rPr>
        <w:t xml:space="preserve">Dữ liệu và luồng đang chạy trên bộ nhớ trình duyệt; backend NestJS + Prisma chưa nối. Khi nối, mỗi service ánh xạ 1:1 sang endpoint.</w:t>
      </w:r>
    </w:p>
    <w:p>
      <w:pPr>
        <w:pStyle w:val="ListParagraph"/>
        <w:numPr>
          <w:ilvl w:val="0"/>
          <w:numId w:val="2"/>
        </w:numPr>
        <w:spacing w:after="60" w:line="290"/>
      </w:pPr>
      <w:r>
        <w:rPr>
          <w:rFonts w:ascii="Arial" w:cs="Arial" w:eastAsia="Arial" w:hAnsi="Arial"/>
          <w:sz w:val="21"/>
          <w:szCs w:val="21"/>
        </w:rPr>
        <w:t xml:space="preserve">Báo cáo: 15 / 21 báo cáo đã chạy, 6 báo cáo còn nhãn "Sắp có" (ATL-03).</w:t>
      </w:r>
    </w:p>
    <w:p>
      <w:pPr>
        <w:pStyle w:val="ListParagraph"/>
        <w:numPr>
          <w:ilvl w:val="0"/>
          <w:numId w:val="2"/>
        </w:numPr>
        <w:spacing w:after="60" w:line="290"/>
      </w:pPr>
      <w:r>
        <w:rPr>
          <w:rFonts w:ascii="Arial" w:cs="Arial" w:eastAsia="Arial" w:hAnsi="Arial"/>
          <w:sz w:val="21"/>
          <w:szCs w:val="21"/>
        </w:rPr>
        <w:t xml:space="preserve">Vai trò ở trên lấy từ mô tả chức vụ trong hệ thống. Việc giới hạn theo vai trò (ví dụ ẩn giá vốn với Sale, Thủ kho) mới là định nghĩa, chưa được giao diện áp dụng.</w:t>
      </w:r>
    </w:p>
    <w:p>
      <w:pPr>
        <w:pStyle w:val="ListParagraph"/>
        <w:numPr>
          <w:ilvl w:val="0"/>
          <w:numId w:val="2"/>
        </w:numPr>
        <w:spacing w:after="60" w:line="290"/>
      </w:pPr>
      <w:r>
        <w:rPr>
          <w:rFonts w:ascii="Arial" w:cs="Arial" w:eastAsia="Arial" w:hAnsi="Arial"/>
          <w:sz w:val="21"/>
          <w:szCs w:val="21"/>
        </w:rPr>
        <w:t xml:space="preserve">Xuất Excel (mọi màn hình): tên file bằng tiếng Việt có dấu, theo sau là ngày giờ xuất, ví dụ "Đơn hàng bán - 22-10-2026 14h35.xlsx"; file mẫu nhập liệu ("Mẫu nhập hàng hoá.xlsx") không có ngày giờ.</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ATL-00 · Workflow tổng thể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ATL-00 — Workflow tổng thể hệ thống</dc:title>
  <dc:creator>Ninh Trang ERP</dc:creator>
  <cp:lastModifiedBy>Un-named</cp:lastModifiedBy>
  <cp:revision>1</cp:revision>
  <dcterms:created xsi:type="dcterms:W3CDTF">2026-10-21T23:58:16.124Z</dcterms:created>
  <dcterms:modified xsi:type="dcterms:W3CDTF">2026-10-21T23:58:16.125Z</dcterms:modified>
</cp:coreProperties>
</file>

<file path=docProps/custom.xml><?xml version="1.0" encoding="utf-8"?>
<Properties xmlns="http://schemas.openxmlformats.org/officeDocument/2006/custom-properties" xmlns:vt="http://schemas.openxmlformats.org/officeDocument/2006/docPropsVTypes"/>
</file>