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7F7F7F"/>
          <w:sz w:val="18"/>
          <w:szCs w:val="18"/>
        </w:rPr>
        <w:t xml:space="preserve">TÀI LIỆU ATLAS — CHỨC NĂNG</w:t>
      </w:r>
    </w:p>
    <w:p>
      <w:pPr>
        <w:spacing w:after="120"/>
      </w:pPr>
      <w:r>
        <w:rPr>
          <w:rFonts w:ascii="Arial" w:cs="Arial" w:eastAsia="Arial" w:hAnsi="Arial"/>
          <w:b/>
          <w:bCs/>
          <w:color w:val="1F3864"/>
          <w:sz w:val="40"/>
          <w:szCs w:val="40"/>
        </w:rPr>
        <w:t xml:space="preserve">Nhà cung cấp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Mã tài liệu</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ATL-08</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Phân hệ</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Mua hàng</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Đường dẫn</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/nha-cung-cap, /nha-cung-cap/them, /nha-cung-cap/:id, /nha-cung-cap/:id/sua</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Phiên bản</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1.0 — 22/10/2026</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Hệ thống</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Ninh Trang ERP — quản lý bán hàng, kho, sản xuất, giao hàng, công nợ</w:t>
            </w:r>
          </w:p>
        </w:tc>
      </w:tr>
    </w:tbl>
    <w:p>
      <w:pPr>
        <w:spacing w:after="80"/>
      </w:pPr>
    </w:p>
    <w:p>
      <w:pPr>
        <w:pStyle w:val="Heading1"/>
        <w:keepNext/>
        <w:spacing w:after="120" w:before="320"/>
      </w:pPr>
      <w:r>
        <w:rPr>
          <w:rFonts w:ascii="Arial" w:cs="Arial" w:eastAsia="Arial" w:hAnsi="Arial"/>
          <w:b/>
          <w:bCs/>
          <w:color w:val="1F3864"/>
          <w:sz w:val="28"/>
          <w:szCs w:val="28"/>
        </w:rPr>
        <w:t xml:space="preserve">1. Tổng quan</w:t>
      </w:r>
    </w:p>
    <w:p>
      <w:pPr>
        <w:pStyle w:val="Heading2"/>
        <w:keepNext/>
        <w:spacing w:after="80" w:before="200"/>
      </w:pPr>
      <w:r>
        <w:rPr>
          <w:rFonts w:ascii="Arial" w:cs="Arial" w:eastAsia="Arial" w:hAnsi="Arial"/>
          <w:b/>
          <w:bCs/>
          <w:color w:val="2F5496"/>
          <w:sz w:val="24"/>
          <w:szCs w:val="24"/>
        </w:rPr>
        <w:t xml:space="preserve">Mục đích</w:t>
      </w:r>
    </w:p>
    <w:p>
      <w:pPr>
        <w:spacing w:after="100" w:before="0" w:line="300"/>
      </w:pPr>
      <w:r>
        <w:rPr>
          <w:rFonts w:ascii="Arial" w:cs="Arial" w:eastAsia="Arial" w:hAnsi="Arial"/>
          <w:sz w:val="21"/>
          <w:szCs w:val="21"/>
        </w:rPr>
        <w:t xml:space="preserve">Danh bạ nhà cung cấp: thông tin liên hệ, mã số thuế, số ngày được nợ, danh mục mặt hàng NCC bán (mã theo NCC, giá mua), lịch sử đơn nhập và công nợ phải trả.</w:t>
      </w:r>
    </w:p>
    <w:p>
      <w:pPr>
        <w:pStyle w:val="Heading2"/>
        <w:keepNext/>
        <w:spacing w:after="80" w:before="200"/>
      </w:pPr>
      <w:r>
        <w:rPr>
          <w:rFonts w:ascii="Arial" w:cs="Arial" w:eastAsia="Arial" w:hAnsi="Arial"/>
          <w:b/>
          <w:bCs/>
          <w:color w:val="2F5496"/>
          <w:sz w:val="24"/>
          <w:szCs w:val="24"/>
        </w:rPr>
        <w:t xml:space="preserve">Đối tượng sử dụng</w:t>
      </w:r>
    </w:p>
    <w:p>
      <w:pPr>
        <w:pStyle w:val="ListParagraph"/>
        <w:numPr>
          <w:ilvl w:val="0"/>
          <w:numId w:val="2"/>
        </w:numPr>
        <w:spacing w:after="60" w:line="290"/>
      </w:pPr>
      <w:r>
        <w:rPr>
          <w:rFonts w:ascii="Arial" w:cs="Arial" w:eastAsia="Arial" w:hAnsi="Arial"/>
          <w:sz w:val="21"/>
          <w:szCs w:val="21"/>
        </w:rPr>
        <w:t xml:space="preserve">Thu mua / Quản lý: thêm sửa NCC.</w:t>
      </w:r>
    </w:p>
    <w:p>
      <w:pPr>
        <w:pStyle w:val="ListParagraph"/>
        <w:numPr>
          <w:ilvl w:val="0"/>
          <w:numId w:val="2"/>
        </w:numPr>
        <w:spacing w:after="60" w:line="290"/>
      </w:pPr>
      <w:r>
        <w:rPr>
          <w:rFonts w:ascii="Arial" w:cs="Arial" w:eastAsia="Arial" w:hAnsi="Arial"/>
          <w:sz w:val="21"/>
          <w:szCs w:val="21"/>
        </w:rPr>
        <w:t xml:space="preserve">Kế toán: xem công nợ.</w:t>
      </w:r>
    </w:p>
    <w:p>
      <w:pPr>
        <w:pStyle w:val="Heading2"/>
        <w:keepNext/>
        <w:spacing w:after="80" w:before="200"/>
      </w:pPr>
      <w:r>
        <w:rPr>
          <w:rFonts w:ascii="Arial" w:cs="Arial" w:eastAsia="Arial" w:hAnsi="Arial"/>
          <w:b/>
          <w:bCs/>
          <w:color w:val="2F5496"/>
          <w:sz w:val="24"/>
          <w:szCs w:val="24"/>
        </w:rPr>
        <w:t xml:space="preserve">Quyền liên quan</w:t>
      </w:r>
    </w:p>
    <w:p>
      <w:pPr>
        <w:spacing w:after="100" w:before="0" w:line="300"/>
      </w:pPr>
      <w:r>
        <w:rPr>
          <w:rFonts w:ascii="Arial" w:cs="Arial" w:eastAsia="Arial" w:hAnsi="Arial"/>
          <w:sz w:val="21"/>
          <w:szCs w:val="21"/>
        </w:rPr>
        <w:t xml:space="preserve">supplier.view / create / update / delete.</w:t>
      </w:r>
    </w:p>
    <w:p>
      <w:pPr>
        <w:spacing w:after="100" w:before="0" w:line="300"/>
      </w:pPr>
      <w:r>
        <w:rPr>
          <w:rFonts w:ascii="Arial" w:cs="Arial" w:eastAsia="Arial" w:hAnsi="Arial"/>
          <w:i/>
          <w:iCs/>
          <w:sz w:val="19"/>
          <w:szCs w:val="19"/>
        </w:rPr>
        <w:t xml:space="preserve">Lưu ý: các mã quyền là danh mục đã định nghĩa (xem ATL-23); giao diện hiện chưa kiểm tra quyền — mọi tài khoản đăng nhập đều xem và dùng được mọi chức năng.</w:t>
      </w:r>
    </w:p>
    <w:p>
      <w:pPr>
        <w:pStyle w:val="Heading1"/>
        <w:keepNext/>
        <w:spacing w:after="120" w:before="320"/>
      </w:pPr>
      <w:r>
        <w:rPr>
          <w:rFonts w:ascii="Arial" w:cs="Arial" w:eastAsia="Arial" w:hAnsi="Arial"/>
          <w:b/>
          <w:bCs/>
          <w:color w:val="1F3864"/>
          <w:sz w:val="28"/>
          <w:szCs w:val="28"/>
        </w:rPr>
        <w:t xml:space="preserve">2. Quy trình (workflow)</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100"/>
        <w:gridCol w:w="412"/>
        <w:gridCol w:w="2100"/>
        <w:gridCol w:w="412"/>
        <w:gridCol w:w="2100"/>
        <w:gridCol w:w="412"/>
        <w:gridCol w:w="2100"/>
      </w:tblGrid>
      <w:tr>
        <w:trPr>
          <w:cantSplit/>
        </w:trPr>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Thêm nhà cung cấp</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Khai báo danh mục hàng của NCC</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Lập Đơn nhập hàng</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Theo dõi công nợ phải trả</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96"/>
        <w:gridCol w:w="1490"/>
        <w:gridCol w:w="3974"/>
        <w:gridCol w:w="3578"/>
      </w:tblGrid>
      <w:tr>
        <w:trPr>
          <w:cantSplit/>
          <w:tblHeader/>
        </w:trPr>
        <w:tc>
          <w:tcPr>
            <w:tcW w:type="dxa" w:w="59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Bước</w:t>
            </w:r>
          </w:p>
        </w:tc>
        <w:tc>
          <w:tcPr>
            <w:tcW w:type="dxa" w:w="149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Người thực hiện</w:t>
            </w:r>
          </w:p>
        </w:tc>
        <w:tc>
          <w:tcPr>
            <w:tcW w:type="dxa" w:w="397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Hành động</w:t>
            </w:r>
          </w:p>
        </w:tc>
        <w:tc>
          <w:tcPr>
            <w:tcW w:type="dxa" w:w="357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Kết quả / tác động</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Thu mua</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Thêm NCC: tên, điện thoại, email, mã số thuế, số ngày được nợ, địa chỉ, ghi chú.</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Mã NCC tự cấp (NCC + số); cảnh báo nếu trùng mã số thuế hoặc tên (không phân biệt dấu) với NCC khác.</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2</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Thu mua</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Trong chi tiết NCC, thêm mặt hàng NCC cung cấp: mã theo NCC, giá mua.</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Thêm lại mặt hàng đã có sẽ cập nhật mã và giá.</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3</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Thu mua</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Lập đơn nhập từ chi tiết NCC.</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NCC được chọn sẵn trên đơn mới (?ncc=).</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4</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Kế toán</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Xem công nợ phải trả của NCC; lập phiếu chi.</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Liên kết sang Công nợ phải trả / Phiếu thu chi.</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5</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Quản lý</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Ngừng hợp tác khi không mua nữa.</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Đổi trạng thái, không xoá; đơn và công nợ giữ nguyên.</w:t>
            </w:r>
          </w:p>
        </w:tc>
      </w:tr>
    </w:tbl>
    <w:p>
      <w:pPr>
        <w:pStyle w:val="Heading1"/>
        <w:keepNext/>
        <w:spacing w:after="120" w:before="320"/>
      </w:pPr>
      <w:r>
        <w:rPr>
          <w:rFonts w:ascii="Arial" w:cs="Arial" w:eastAsia="Arial" w:hAnsi="Arial"/>
          <w:b/>
          <w:bCs/>
          <w:color w:val="1F3864"/>
          <w:sz w:val="28"/>
          <w:szCs w:val="28"/>
        </w:rPr>
        <w:t xml:space="preserve">3. Màn hình &amp; thành phần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cantSplit/>
          <w:tblHeader/>
        </w:trPr>
        <w:tc>
          <w:tcPr>
            <w:tcW w:type="dxa" w:w="240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Màn hình / thành phần</w:t>
            </w:r>
          </w:p>
        </w:tc>
        <w:tc>
          <w:tcPr>
            <w:tcW w:type="dxa" w:w="722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Mô tả</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Danh sách</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Tìm theo tên, mã, điện thoại, mã số thuế, địa chỉ; lọc Trạng thái, Điều kiện thanh toán, nút "Còn công nợ"; sắp xếp; xuất Excel. Cột: Mã NCC, Tên, Liên hệ, MST, Địa chỉ, Được nợ, Mặt hàng, Đơn nhập, Còn phải trả, Trạng thái.</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Form thêm/sửa</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Mã nhà cung cấp (tự cấp), Tên (bắt buộc), Điện thoại, Email, Mã số thuế, Số ngày được nợ, Địa chỉ, Ghi chú.</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Chi tiết</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Tab Thông tin chung · Danh mục hàng · Đơn nhập · Công nợ. Nút: Danh sách, Lập đơn nhập (chọn sẵn NCC), Lập phiếu chi, Sửa, Ngừng hợp tác / Hợp tác lại.</w:t>
            </w:r>
          </w:p>
        </w:tc>
      </w:tr>
    </w:tbl>
    <w:p>
      <w:pPr>
        <w:pStyle w:val="Heading1"/>
        <w:keepNext/>
        <w:spacing w:after="120" w:before="320"/>
      </w:pPr>
      <w:r>
        <w:rPr>
          <w:rFonts w:ascii="Arial" w:cs="Arial" w:eastAsia="Arial" w:hAnsi="Arial"/>
          <w:b/>
          <w:bCs/>
          <w:color w:val="1F3864"/>
          <w:sz w:val="28"/>
          <w:szCs w:val="28"/>
        </w:rPr>
        <w:t xml:space="preserve">4. Trạng thái &amp; chuyển trạng thái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7"/>
        <w:gridCol w:w="4015"/>
        <w:gridCol w:w="3616"/>
      </w:tblGrid>
      <w:tr>
        <w:trPr>
          <w:cantSplit/>
          <w:tblHeader/>
        </w:trPr>
        <w:tc>
          <w:tcPr>
            <w:tcW w:type="dxa" w:w="200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Trạng thái</w:t>
            </w:r>
          </w:p>
        </w:tc>
        <w:tc>
          <w:tcPr>
            <w:tcW w:type="dxa" w:w="4015"/>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Ý nghĩa</w:t>
            </w:r>
          </w:p>
        </w:tc>
        <w:tc>
          <w:tcPr>
            <w:tcW w:type="dxa" w:w="361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Chuyển được sang / cho phép</w:t>
            </w:r>
          </w:p>
        </w:tc>
      </w:tr>
      <w:tr>
        <w:trPr>
          <w:cantSplit/>
        </w:trPr>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Còn hợp tác</w:t>
            </w:r>
          </w:p>
        </w:tc>
        <w:tc>
          <w:tcPr>
            <w:tcW w:type="dxa" w:w="40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Chọn được khi lập đơn nhập.</w:t>
            </w:r>
          </w:p>
        </w:tc>
        <w:tc>
          <w:tcPr>
            <w:tcW w:type="dxa" w:w="36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Ngừng hợp tác</w:t>
            </w:r>
          </w:p>
        </w:tc>
      </w:tr>
      <w:tr>
        <w:trPr>
          <w:cantSplit/>
        </w:trPr>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Ngừng hợp tác</w:t>
            </w:r>
          </w:p>
        </w:tc>
        <w:tc>
          <w:tcPr>
            <w:tcW w:type="dxa" w:w="40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Không chọn cho đơn mới; lịch sử giữ.</w:t>
            </w:r>
          </w:p>
        </w:tc>
        <w:tc>
          <w:tcPr>
            <w:tcW w:type="dxa" w:w="36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Hợp tác lại</w:t>
            </w:r>
          </w:p>
        </w:tc>
      </w:tr>
    </w:tbl>
    <w:p>
      <w:pPr>
        <w:pStyle w:val="Heading1"/>
        <w:keepNext/>
        <w:spacing w:after="120" w:before="320"/>
      </w:pPr>
      <w:r>
        <w:rPr>
          <w:rFonts w:ascii="Arial" w:cs="Arial" w:eastAsia="Arial" w:hAnsi="Arial"/>
          <w:b/>
          <w:bCs/>
          <w:color w:val="1F3864"/>
          <w:sz w:val="28"/>
          <w:szCs w:val="28"/>
        </w:rPr>
        <w:t xml:space="preserve">5. Quy tắc nghiệp vụ</w:t>
      </w:r>
    </w:p>
    <w:p>
      <w:pPr>
        <w:pStyle w:val="ListParagraph"/>
        <w:numPr>
          <w:ilvl w:val="0"/>
          <w:numId w:val="3"/>
        </w:numPr>
        <w:spacing w:after="70" w:line="290"/>
      </w:pPr>
      <w:r>
        <w:rPr>
          <w:rFonts w:ascii="Arial" w:cs="Arial" w:eastAsia="Arial" w:hAnsi="Arial"/>
          <w:sz w:val="21"/>
          <w:szCs w:val="21"/>
        </w:rPr>
        <w:t xml:space="preserve">Số ngày được nợ quyết định hạn thanh toán: </w:t>
      </w:r>
      <w:r>
        <w:rPr>
          <w:rFonts w:ascii="Arial" w:cs="Arial" w:eastAsia="Arial" w:hAnsi="Arial"/>
          <w:b/>
          <w:bCs/>
          <w:sz w:val="21"/>
          <w:szCs w:val="21"/>
        </w:rPr>
        <w:t xml:space="preserve">hạn = ngày nhập kho + số ngày được nợ</w:t>
      </w:r>
      <w:r>
        <w:rPr>
          <w:rFonts w:ascii="Arial" w:cs="Arial" w:eastAsia="Arial" w:hAnsi="Arial"/>
          <w:sz w:val="21"/>
          <w:szCs w:val="21"/>
        </w:rPr>
        <w:t xml:space="preserve">.</w:t>
      </w:r>
    </w:p>
    <w:p>
      <w:pPr>
        <w:pStyle w:val="ListParagraph"/>
        <w:numPr>
          <w:ilvl w:val="0"/>
          <w:numId w:val="3"/>
        </w:numPr>
        <w:spacing w:after="70" w:line="290"/>
      </w:pPr>
      <w:r>
        <w:rPr>
          <w:rFonts w:ascii="Arial" w:cs="Arial" w:eastAsia="Arial" w:hAnsi="Arial"/>
          <w:sz w:val="21"/>
          <w:szCs w:val="21"/>
        </w:rPr>
        <w:t xml:space="preserve">Danh mục hàng theo NCC, số đơn nhập và công nợ đều </w:t>
      </w:r>
      <w:r>
        <w:rPr>
          <w:rFonts w:ascii="Arial" w:cs="Arial" w:eastAsia="Arial" w:hAnsi="Arial"/>
          <w:b/>
          <w:bCs/>
          <w:sz w:val="21"/>
          <w:szCs w:val="21"/>
        </w:rPr>
        <w:t xml:space="preserve">suy ra từ dữ liệu</w:t>
      </w:r>
      <w:r>
        <w:rPr>
          <w:rFonts w:ascii="Arial" w:cs="Arial" w:eastAsia="Arial" w:hAnsi="Arial"/>
          <w:sz w:val="21"/>
          <w:szCs w:val="21"/>
        </w:rPr>
        <w:t xml:space="preserve">, không lưu trên NCC.</w:t>
      </w:r>
    </w:p>
    <w:p>
      <w:pPr>
        <w:pStyle w:val="ListParagraph"/>
        <w:numPr>
          <w:ilvl w:val="0"/>
          <w:numId w:val="3"/>
        </w:numPr>
        <w:spacing w:after="70" w:line="290"/>
      </w:pPr>
      <w:r>
        <w:rPr>
          <w:rFonts w:ascii="Arial" w:cs="Arial" w:eastAsia="Arial" w:hAnsi="Arial"/>
          <w:sz w:val="21"/>
          <w:szCs w:val="21"/>
        </w:rPr>
        <w:t xml:space="preserve">Không xoá NCC: Ngừng hợp tác là đổi trạng thái.</w:t>
      </w:r>
    </w:p>
    <w:p>
      <w:pPr>
        <w:pStyle w:val="ListParagraph"/>
        <w:numPr>
          <w:ilvl w:val="0"/>
          <w:numId w:val="3"/>
        </w:numPr>
        <w:spacing w:after="70" w:line="290"/>
      </w:pPr>
      <w:r>
        <w:rPr>
          <w:rFonts w:ascii="Arial" w:cs="Arial" w:eastAsia="Arial" w:hAnsi="Arial"/>
          <w:sz w:val="21"/>
          <w:szCs w:val="21"/>
        </w:rPr>
        <w:t xml:space="preserve">Cảnh báo trùng mã số thuế / tên khi thêm hoặc sửa.</w:t>
      </w:r>
    </w:p>
    <w:p>
      <w:pPr>
        <w:pStyle w:val="Heading1"/>
        <w:keepNext/>
        <w:spacing w:after="120" w:before="320"/>
      </w:pPr>
      <w:r>
        <w:rPr>
          <w:rFonts w:ascii="Arial" w:cs="Arial" w:eastAsia="Arial" w:hAnsi="Arial"/>
          <w:b/>
          <w:bCs/>
          <w:color w:val="1F3864"/>
          <w:sz w:val="28"/>
          <w:szCs w:val="28"/>
        </w:rPr>
        <w:t xml:space="preserve">6. Dữ liệu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007"/>
        <w:gridCol w:w="5222"/>
      </w:tblGrid>
      <w:tr>
        <w:trPr>
          <w:cantSplit/>
          <w:tblHeader/>
        </w:trPr>
        <w:tc>
          <w:tcPr>
            <w:tcW w:type="dxa" w:w="240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Trường</w:t>
            </w:r>
          </w:p>
        </w:tc>
        <w:tc>
          <w:tcPr>
            <w:tcW w:type="dxa" w:w="200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Kiểu / định dạng</w:t>
            </w:r>
          </w:p>
        </w:tc>
        <w:tc>
          <w:tcPr>
            <w:tcW w:type="dxa" w:w="522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Mô tả</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code, name</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NCC + 7 số, chuỗi</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Mã và tên NCC.</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contactPhone, email, address, taxCode</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Chuỗi</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Điện thoại, email, địa chỉ, mã số thuế.</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creditDays</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Số ngày</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Số ngày được nợ.</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isActive</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Cờ</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Còn hợp tác.</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note, createdAt</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Chuỗi, ngày</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Ghi chú, ngày tạo.</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SupplierProduct</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Danh sách</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productId, mã theo NCC, giá mua.</w:t>
            </w:r>
          </w:p>
        </w:tc>
      </w:tr>
    </w:tbl>
    <w:p>
      <w:pPr>
        <w:pStyle w:val="Heading1"/>
        <w:keepNext/>
        <w:spacing w:after="120" w:before="320"/>
      </w:pPr>
      <w:r>
        <w:rPr>
          <w:rFonts w:ascii="Arial" w:cs="Arial" w:eastAsia="Arial" w:hAnsi="Arial"/>
          <w:b/>
          <w:bCs/>
          <w:color w:val="1F3864"/>
          <w:sz w:val="28"/>
          <w:szCs w:val="28"/>
        </w:rPr>
        <w:t xml:space="preserve">7. Liên kết với chức năng khác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10"/>
        <w:gridCol w:w="7028"/>
      </w:tblGrid>
      <w:tr>
        <w:trPr>
          <w:cantSplit/>
          <w:tblHeader/>
        </w:trPr>
        <w:tc>
          <w:tcPr>
            <w:tcW w:type="dxa" w:w="261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Chức năng</w:t>
            </w:r>
          </w:p>
        </w:tc>
        <w:tc>
          <w:tcPr>
            <w:tcW w:type="dxa" w:w="702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Quan hệ</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nhập hàng (ATL-09)</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gắn NCC.</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Công nợ phải trả (ATL-10)</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Số dư và tuổi nợ theo NCC.</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Hàng hoá (ATL-04)</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Mặt hàng mà NCC cung cấp.</w:t>
            </w:r>
          </w:p>
        </w:tc>
      </w:tr>
    </w:tbl>
    <w:p>
      <w:pPr>
        <w:pStyle w:val="Heading1"/>
        <w:keepNext/>
        <w:spacing w:after="120" w:before="320"/>
      </w:pPr>
      <w:r>
        <w:rPr>
          <w:rFonts w:ascii="Arial" w:cs="Arial" w:eastAsia="Arial" w:hAnsi="Arial"/>
          <w:b/>
          <w:bCs/>
          <w:color w:val="1F3864"/>
          <w:sz w:val="28"/>
          <w:szCs w:val="28"/>
        </w:rPr>
        <w:t xml:space="preserve">8. Trường hợp ngoại lệ &amp; thông báo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cantSplit/>
          <w:tblHeader/>
        </w:trPr>
        <w:tc>
          <w:tcPr>
            <w:tcW w:type="dxa" w:w="361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Tình huống</w:t>
            </w:r>
          </w:p>
        </w:tc>
        <w:tc>
          <w:tcPr>
            <w:tcW w:type="dxa" w:w="602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Hệ thống xử lý</w:t>
            </w:r>
          </w:p>
        </w:tc>
      </w:tr>
      <w:tr>
        <w:trPr>
          <w:cantSplit/>
        </w:trPr>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Trùng mã số thuế / tên</w:t>
            </w:r>
          </w:p>
        </w:tc>
        <w:tc>
          <w:tcPr>
            <w:tcW w:type="dxa" w:w="60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Cảnh báo, người dùng quyết định lưu hay sửa.</w:t>
            </w:r>
          </w:p>
        </w:tc>
      </w:tr>
      <w:tr>
        <w:trPr>
          <w:cantSplit/>
        </w:trPr>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Không tìm thấy NCC</w:t>
            </w:r>
          </w:p>
        </w:tc>
        <w:tc>
          <w:tcPr>
            <w:tcW w:type="dxa" w:w="60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Trang trống kèm nút về danh sách.</w:t>
            </w:r>
          </w:p>
        </w:tc>
      </w:tr>
    </w:tbl>
    <w:p>
      <w:pPr>
        <w:pStyle w:val="Heading1"/>
        <w:keepNext/>
        <w:spacing w:after="120" w:before="320"/>
      </w:pPr>
      <w:r>
        <w:rPr>
          <w:rFonts w:ascii="Arial" w:cs="Arial" w:eastAsia="Arial" w:hAnsi="Arial"/>
          <w:b/>
          <w:bCs/>
          <w:color w:val="1F3864"/>
          <w:sz w:val="28"/>
          <w:szCs w:val="28"/>
        </w:rPr>
        <w:t xml:space="preserve">9. Ghi chú &amp; giới hạn hiện tại</w:t>
      </w:r>
    </w:p>
    <w:p>
      <w:pPr>
        <w:pStyle w:val="ListParagraph"/>
        <w:numPr>
          <w:ilvl w:val="0"/>
          <w:numId w:val="2"/>
        </w:numPr>
        <w:spacing w:after="60" w:line="290"/>
      </w:pPr>
      <w:r>
        <w:rPr>
          <w:rFonts w:ascii="Arial" w:cs="Arial" w:eastAsia="Arial" w:hAnsi="Arial"/>
          <w:sz w:val="21"/>
          <w:szCs w:val="21"/>
        </w:rPr>
        <w:t xml:space="preserve">Công nợ phải trả của NCC chỉ phát sinh khi nhận hàng.</w:t>
      </w:r>
    </w:p>
    <w:p>
      <w:pPr>
        <w:pStyle w:val="ListParagraph"/>
        <w:numPr>
          <w:ilvl w:val="0"/>
          <w:numId w:val="2"/>
        </w:numPr>
        <w:spacing w:after="60" w:line="290"/>
      </w:pPr>
      <w:r>
        <w:rPr>
          <w:rFonts w:ascii="Arial" w:cs="Arial" w:eastAsia="Arial" w:hAnsi="Arial"/>
          <w:sz w:val="21"/>
          <w:szCs w:val="21"/>
        </w:rPr>
        <w:t xml:space="preserve">Hệ thống hiện chạy trên dữ liệu mô phỏng (mock) trong trình duyệt; các quy tắc dưới đây là hành vi đã cài đặt ở giao diện và sẽ ánh xạ 1:1 sang API backend.</w:t>
      </w:r>
    </w:p>
    <w:sectPr>
      <w:headerReference w:type="default" r:id="rId6"/>
      <w:footerReference w:type="default" r:id="rId7"/>
      <w:pgSz w:w="11906" w:h="16838" w:orient="portrait"/>
      <w:pgMar w:top="1300" w:right="1134" w:bottom="12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7"/>
        <w:szCs w:val="17"/>
      </w:rPr>
      <w:t xml:space="preserve">Trang </w:t>
    </w:r>
    <w:r>
      <w:rPr>
        <w:rFonts w:ascii="Arial" w:cs="Arial" w:eastAsia="Arial" w:hAnsi="Arial"/>
        <w:color w:val="7F7F7F"/>
        <w:sz w:val="17"/>
        <w:szCs w:val="17"/>
      </w:rPr>
      <w:fldChar w:fldCharType="begin"/>
    </w:r>
    <w:r>
      <w:rPr>
        <w:rFonts w:ascii="Arial" w:cs="Arial" w:eastAsia="Arial" w:hAnsi="Arial"/>
        <w:color w:val="7F7F7F"/>
        <w:sz w:val="17"/>
        <w:szCs w:val="17"/>
      </w:rPr>
      <w:instrText xml:space="preserve">PAGE</w:instrText>
    </w:r>
    <w:r>
      <w:rPr>
        <w:rFonts w:ascii="Arial" w:cs="Arial" w:eastAsia="Arial" w:hAnsi="Arial"/>
        <w:color w:val="7F7F7F"/>
        <w:sz w:val="17"/>
        <w:szCs w:val="17"/>
      </w:rPr>
      <w:fldChar w:fldCharType="separate"/>
    </w:r>
    <w:r>
      <w:rPr>
        <w:rFonts w:ascii="Arial" w:cs="Arial" w:eastAsia="Arial" w:hAnsi="Arial"/>
        <w:color w:val="7F7F7F"/>
        <w:sz w:val="17"/>
        <w:szCs w:val="17"/>
      </w:rPr>
      <w:fldChar w:fldCharType="end"/>
    </w:r>
    <w:r>
      <w:rPr>
        <w:rFonts w:ascii="Arial" w:cs="Arial" w:eastAsia="Arial" w:hAnsi="Arial"/>
        <w:color w:val="7F7F7F"/>
        <w:sz w:val="17"/>
        <w:szCs w:val="17"/>
      </w:rPr>
      <w:t xml:space="preserve"> / </w:t>
    </w:r>
    <w:r>
      <w:rPr>
        <w:rFonts w:ascii="Arial" w:cs="Arial" w:eastAsia="Arial" w:hAnsi="Arial"/>
        <w:color w:val="7F7F7F"/>
        <w:sz w:val="17"/>
        <w:szCs w:val="17"/>
      </w:rPr>
      <w:fldChar w:fldCharType="begin"/>
    </w:r>
    <w:r>
      <w:rPr>
        <w:rFonts w:ascii="Arial" w:cs="Arial" w:eastAsia="Arial" w:hAnsi="Arial"/>
        <w:color w:val="7F7F7F"/>
        <w:sz w:val="17"/>
        <w:szCs w:val="17"/>
      </w:rPr>
      <w:instrText xml:space="preserve">NUMPAGES</w:instrText>
    </w:r>
    <w:r>
      <w:rPr>
        <w:rFonts w:ascii="Arial" w:cs="Arial" w:eastAsia="Arial" w:hAnsi="Arial"/>
        <w:color w:val="7F7F7F"/>
        <w:sz w:val="17"/>
        <w:szCs w:val="17"/>
      </w:rPr>
      <w:fldChar w:fldCharType="separate"/>
    </w:r>
    <w:r>
      <w:rPr>
        <w:rFonts w:ascii="Arial" w:cs="Arial" w:eastAsia="Arial" w:hAnsi="Arial"/>
        <w:color w:val="7F7F7F"/>
        <w:sz w:val="17"/>
        <w:szCs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6" w:space="2"/>
      </w:pBdr>
      <w:tabs>
        <w:tab w:val="right" w:pos="9638"/>
      </w:tabs>
    </w:pPr>
    <w:r>
      <w:rPr>
        <w:rFonts w:ascii="Arial" w:cs="Arial" w:eastAsia="Arial" w:hAnsi="Arial"/>
        <w:color w:val="7F7F7F"/>
        <w:sz w:val="17"/>
        <w:szCs w:val="17"/>
      </w:rPr>
      <w:t xml:space="preserve">Ninh Trang ERP — Tài liệu Atlas</w:t>
    </w:r>
    <w:r>
      <w:rPr>
        <w:rFonts w:ascii="Arial" w:cs="Arial" w:eastAsia="Arial" w:hAnsi="Arial"/>
        <w:color w:val="7F7F7F"/>
        <w:sz w:val="17"/>
        <w:szCs w:val="17"/>
      </w:rPr>
      <w:t xml:space="preserve">	ATL-08 · Nhà cung cấp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F3864"/>
      <w:sz w:val="28"/>
      <w:szCs w:val="28"/>
    </w:rPr>
  </w:style>
  <w:style w:type="paragraph" w:styleId="Heading2">
    <w:name w:val="Heading 2"/>
    <w:basedOn w:val="Normal"/>
    <w:next w:val="Normal"/>
    <w:qFormat/>
    <w:pPr>
      <w:spacing w:after="80" w:before="200"/>
      <w:outlineLvl w:val="1"/>
    </w:pPr>
    <w:rPr>
      <w:rFonts w:ascii="Arial" w:cs="Arial" w:eastAsia="Arial" w:hAnsi="Arial"/>
      <w:b/>
      <w:bCs/>
      <w:color w:val="2F549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ATL-08 — Nhà cung cấp</dc:title>
  <dc:creator>Ninh Trang ERP</dc:creator>
  <cp:lastModifiedBy>Un-named</cp:lastModifiedBy>
  <cp:revision>1</cp:revision>
  <dcterms:created xsi:type="dcterms:W3CDTF">2026-10-21T23:58:16.534Z</dcterms:created>
  <dcterms:modified xsi:type="dcterms:W3CDTF">2026-10-21T23:58:16.534Z</dcterms:modified>
</cp:coreProperties>
</file>

<file path=docProps/custom.xml><?xml version="1.0" encoding="utf-8"?>
<Properties xmlns="http://schemas.openxmlformats.org/officeDocument/2006/custom-properties" xmlns:vt="http://schemas.openxmlformats.org/officeDocument/2006/docPropsVTypes"/>
</file>