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7F7F7F"/>
          <w:sz w:val="18"/>
          <w:szCs w:val="18"/>
        </w:rPr>
        <w:t xml:space="preserve">TÀI LIỆU ATLAS — CHỨC NĂNG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Đơn nhập hàng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Mã tài liệu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ATL-09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Phân hệ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Mua hàng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/mua-hang, /mua-hang/them, /mua-hang/:id, /mua-hang/:id/sua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Phiên bản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1.0 — 22/10/2026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</w:t>
            </w:r>
          </w:p>
        </w:tc>
        <w:tc>
          <w:tcPr>
            <w:tcW w:type="dxa" w:w="7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Ninh Trang ERP — quản lý bán hàng, kho, sản xuất, giao hàng, công nợ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Tổng quan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Mục đích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Lập và theo dõi đơn mua vật tư từ nhà cung cấp. Đơn không đụng tới tồn kho hay công nợ cho tới khi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Nhận hàng</w:t>
      </w:r>
      <w:r>
        <w:rPr>
          <w:rFonts w:ascii="Arial" w:cs="Arial" w:eastAsia="Arial" w:hAnsi="Arial"/>
          <w:sz w:val="21"/>
          <w:szCs w:val="21"/>
        </w:rPr>
        <w:t xml:space="preserve">; khi nhận hàng hệ thống sinh phiếu nhập kho và ghi công nợ phải trả.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Đối tượng sử dụng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Thu mua: lập, gửi NCC, hoàn tất, huỷ.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Thủ kho: nhận hàng.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Kế toán: xem công nợ.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Quyền liên quan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purchase.* (xem, lập, sửa, gửi, nhận, hoàn tất, huỷ).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Lưu ý: các mã quyền là danh mục đã định nghĩa (xem ATL-23); giao diện hiện chưa kiểm tra quyền — mọi tài khoản đăng nhập đều xem và dùng được mọi chức năng.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Quy trình (workflow)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12"/>
        <w:gridCol w:w="2100"/>
        <w:gridCol w:w="412"/>
        <w:gridCol w:w="2100"/>
        <w:gridCol w:w="412"/>
        <w:gridCol w:w="2100"/>
      </w:tblGrid>
      <w:tr>
        <w:trPr>
          <w:cantSplit/>
        </w:trPr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Nháp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Đã gửi NCC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Nhận một phần / Đã nhận đủ</w:t>
            </w:r>
          </w:p>
        </w:tc>
        <w:tc>
          <w:tcPr>
            <w:tcW w:type="dxa" w:w="4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→</w:t>
            </w:r>
          </w:p>
        </w:tc>
        <w:tc>
          <w:tcPr>
            <w:tcW w:type="dxa" w:w="2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7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Hoàn tất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"/>
        <w:gridCol w:w="1490"/>
        <w:gridCol w:w="3974"/>
        <w:gridCol w:w="3578"/>
      </w:tblGrid>
      <w:tr>
        <w:trPr>
          <w:cantSplit/>
          <w:tblHeader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Bước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Người thực hiện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Hành động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Kết quả / tác động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mua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đơn: chọn NCC, thêm dòng (hàng, ĐVT, số lượng, đơn giá, thuế 0/5/8/10%).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Nháp; còn sửa được. Thành tiền chưa gồm thuế; tổng thanh toán gồm thuế.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mua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Gửi NCC.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Chuyển Đã gửi NCC; không sửa nội dung nữa; hàng tính vào cột "Sắp về" ở Tồn kho.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Thủ kho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hàng: nhập số thực nhận từng dòng và kho nhập.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Một phiếu nhập kho cho mỗi kho; tồn + theo ĐVT chính; cập nhật số đã nhận và giá trị đã nhận; công nợ phải trả = giá trị đã nhận (gồm thuế).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Thủ kho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tiếp phần còn lại (nếu nhận một phần).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tự tính lại: Nhận một phần → Đã nhận đủ.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mua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Hoàn tất đơn.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Đóng đơn (cũng chốt ngắn được khi nhận một phần).</w:t>
            </w:r>
          </w:p>
        </w:tc>
      </w:tr>
      <w:tr>
        <w:trPr>
          <w:cantSplit/>
        </w:trPr>
        <w:tc>
          <w:tcPr>
            <w:tcW w:type="dxa" w:w="59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4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mua</w:t>
            </w:r>
          </w:p>
        </w:tc>
        <w:tc>
          <w:tcPr>
            <w:tcW w:type="dxa" w:w="397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Huỷ đơn (khi Nháp hoặc Đã gửi NCC và chưa nhận hàng).</w:t>
            </w:r>
          </w:p>
        </w:tc>
        <w:tc>
          <w:tcPr>
            <w:tcW w:type="dxa" w:w="357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Đã huỷ.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Màn hình &amp; thành phần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Màn hình / thành phần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Tìm theo mã đơn, NCC hoặc hàng trong đơn; lọc Trạng thái, Nhà cung cấp, Người lập, Giá trị đơn, Kỳ; xuất Excel. Cột: Mã đơn, Ngày đặt, NCC, Mặt hàng, Giá trị đơn, Đã nhận (giá trị · %), Người lập, Trạng thái.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đơn nhập (màn hình chứng từ)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Đầu phiếu (NCC kèm mã số thuế, điện thoại, địa chỉ; Ngày đặt hàng; Người lập; Diễn giải), hai tab Hàng hoá và Phiếu (phiếu nhập kho liên quan), tổng kết, thanh nút theo trạng thái: Sửa, Gửi NCC, Nhận hàng, Hoàn tất, Huỷ đơn, In.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Hộp thoại Nhận hàng</w:t>
            </w:r>
          </w:p>
        </w:tc>
        <w:tc>
          <w:tcPr>
            <w:tcW w:type="dxa" w:w="722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Mỗi dòng: Đặt · Đã nhận · Còn lại · Nhận lần này · Kho nhập; nút "Nhận đủ tất cả"; ghi chú đợt nhận (ví dụ "Đợt 1, xe biển …"); "Xác nhận nhận hàng".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Trạng thái &amp; chuyển trạng thái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7"/>
        <w:gridCol w:w="4015"/>
        <w:gridCol w:w="3616"/>
      </w:tblGrid>
      <w:tr>
        <w:trPr>
          <w:cantSplit/>
          <w:tblHeader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Ý nghĩa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Chuyển được sang / cho phép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Nháp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mới.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Sửa; Gửi NCC; Huỷ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gửi NCC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gửi nhà cung cấp.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hàng; Huỷ (nếu chưa nhận)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một phần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nhận một phần số lượng.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tiếp; Hoàn tất (chốt ngắn)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nhận đủ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đủ mọi dòng.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Hoàn tất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Hoàn tất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đóng.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Đã huỷ</w:t>
            </w:r>
          </w:p>
        </w:tc>
        <w:tc>
          <w:tcPr>
            <w:tcW w:type="dxa" w:w="401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bị huỷ trước khi nhận hàng.</w:t>
            </w:r>
          </w:p>
        </w:tc>
        <w:tc>
          <w:tcPr>
            <w:tcW w:type="dxa" w:w="361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Quy tắc nghiệp vụ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Đơn không đụng tới kho và công nợ</w:t>
      </w:r>
      <w:r>
        <w:rPr>
          <w:rFonts w:ascii="Arial" w:cs="Arial" w:eastAsia="Arial" w:hAnsi="Arial"/>
          <w:sz w:val="21"/>
          <w:szCs w:val="21"/>
        </w:rPr>
        <w:t xml:space="preserve">; chỉ Nhận hàng mới tạo phiếu nhập kho và công nợ phải trả.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Chỉ đơn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Nháp</w:t>
      </w:r>
      <w:r>
        <w:rPr>
          <w:rFonts w:ascii="Arial" w:cs="Arial" w:eastAsia="Arial" w:hAnsi="Arial"/>
          <w:sz w:val="21"/>
          <w:szCs w:val="21"/>
        </w:rPr>
        <w:t xml:space="preserve"> sửa được; chỉ Nháp mới Gửi NCC.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Nhận hàng được khi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Đã gửi NCC</w:t>
      </w:r>
      <w:r>
        <w:rPr>
          <w:rFonts w:ascii="Arial" w:cs="Arial" w:eastAsia="Arial" w:hAnsi="Arial"/>
          <w:sz w:val="21"/>
          <w:szCs w:val="21"/>
        </w:rPr>
        <w:t xml:space="preserve"> hoặc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Nhận một phần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Hoàn tất được khi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Đã nhận đủ</w:t>
      </w:r>
      <w:r>
        <w:rPr>
          <w:rFonts w:ascii="Arial" w:cs="Arial" w:eastAsia="Arial" w:hAnsi="Arial"/>
          <w:sz w:val="21"/>
          <w:szCs w:val="21"/>
        </w:rPr>
        <w:t xml:space="preserve"> hoặc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Nhận một phần</w:t>
      </w:r>
      <w:r>
        <w:rPr>
          <w:rFonts w:ascii="Arial" w:cs="Arial" w:eastAsia="Arial" w:hAnsi="Arial"/>
          <w:sz w:val="21"/>
          <w:szCs w:val="21"/>
        </w:rPr>
        <w:t xml:space="preserve"> (chốt ngắn).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Huỷ</w:t>
      </w:r>
      <w:r>
        <w:rPr>
          <w:rFonts w:ascii="Arial" w:cs="Arial" w:eastAsia="Arial" w:hAnsi="Arial"/>
          <w:sz w:val="21"/>
          <w:szCs w:val="21"/>
        </w:rPr>
        <w:t xml:space="preserve"> chỉ khi Nháp hoặc Đã gửi NCC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và</w:t>
      </w:r>
      <w:r>
        <w:rPr>
          <w:rFonts w:ascii="Arial" w:cs="Arial" w:eastAsia="Arial" w:hAnsi="Arial"/>
          <w:sz w:val="21"/>
          <w:szCs w:val="21"/>
        </w:rPr>
        <w:t xml:space="preserve"> giá trị đã nhận = 0 (hàng vào rồi thì không huỷ).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Số tiền dòng chưa gồm thuế; thuế dòng = thành tiền × thuế suất;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tổng thanh toán và giá trị đã nhận gồm thuế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Số lượng nhập theo ĐVT quy đổi được quy về ĐVT chính khi ghi tồn bằng tỷ lệ quy đổi của dòng.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Hạn thanh toán</w:t>
      </w:r>
      <w:r>
        <w:rPr>
          <w:rFonts w:ascii="Arial" w:cs="Arial" w:eastAsia="Arial" w:hAnsi="Arial"/>
          <w:sz w:val="21"/>
          <w:szCs w:val="21"/>
        </w:rPr>
        <w:t xml:space="preserve"> = ngày nhập kho + số ngày được nợ của NCC; công nợ phải trả tính theo hàng ĐÃ NHẬN.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Trạng thái sau mỗi lần nhận tự suy ra từ số đã nhận so với số đặt (Nhận một phần / Đã nhận đủ).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Arial" w:cs="Arial" w:eastAsia="Arial" w:hAnsi="Arial"/>
          <w:sz w:val="21"/>
          <w:szCs w:val="21"/>
        </w:rPr>
        <w:t xml:space="preserve">Báo cáo Nhập hàng tính trên phiếu nhập kho có NCC, đúng thời điểm hàng về, không tính lúc đặt đơn.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Dữ liệu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007"/>
        <w:gridCol w:w="5222"/>
      </w:tblGrid>
      <w:tr>
        <w:trPr>
          <w:cantSplit/>
          <w:tblHeader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Trường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Kiểu / định dạng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Mô tả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DN + 7 số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đơn.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supplierId, orderDate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Mã, ngày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NCC và ngày đặt.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lines[]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productId, unit/unitName, ratioToBase, quantity, unitPrice, vatRate, receivedQuantity.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totalValue, receivedValue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(₫)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Tổng thanh toán và giá trị đã nhận (= công nợ phải trả), đều gồm thuế.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20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enum</w:t>
            </w:r>
          </w:p>
        </w:tc>
        <w:tc>
          <w:tcPr>
            <w:tcW w:type="dxa" w:w="52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NHAP, DA_GUI_NCC, NHAN_MOT_PHAN, DA_NHAN_DU, HOAN_TAT, HUY.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Tác động tới kho, công nợ, tiền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1"/>
        <w:gridCol w:w="6627"/>
      </w:tblGrid>
      <w:tr>
        <w:trPr>
          <w:cantSplit/>
          <w:tblHeader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Sự kiện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Tác động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Lập / gửi đơn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đổi tồn và công nợ; hàng hiện ở cột "Sắp về".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hàng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kho +; công nợ phải trả + (giá trị hàng nhận, gồm thuế); phiếu nhập kho theo từng kho.</w:t>
            </w:r>
          </w:p>
        </w:tc>
      </w:tr>
      <w:tr>
        <w:trPr>
          <w:cantSplit/>
        </w:trPr>
        <w:tc>
          <w:tcPr>
            <w:tcW w:type="dxa" w:w="30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Huỷ đơn</w:t>
            </w:r>
          </w:p>
        </w:tc>
        <w:tc>
          <w:tcPr>
            <w:tcW w:type="dxa" w:w="66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tác động (chỉ khi chưa nhận hàng).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Liên kết với chức năng khác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 hệ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Nhà cung cấp (ATL-08)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Chọn NCC, lấy giá từ danh mục NCC.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kho (ATL-06)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Phiếu nhập sinh khi nhận hàng.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nợ phải trả (ATL-10)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Khoản phát sinh liên kết về đơn.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Tồn kho (ATL-05)</w:t>
            </w:r>
          </w:p>
        </w:tc>
        <w:tc>
          <w:tcPr>
            <w:tcW w:type="dxa" w:w="702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Cột Sắp về.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Trường hợp ngoại lệ &amp; thông báo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4"/>
        <w:gridCol w:w="6024"/>
      </w:tblGrid>
      <w:tr>
        <w:trPr>
          <w:cantSplit/>
          <w:tblHeader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Tình huống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Hệ thống xử lý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Nhận quá số đặt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Giới hạn theo số còn lại của dòng.</w:t>
            </w:r>
          </w:p>
        </w:tc>
      </w:tr>
      <w:tr>
        <w:trPr>
          <w:cantSplit/>
        </w:trPr>
        <w:tc>
          <w:tcPr>
            <w:tcW w:type="dxa" w:w="361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Huỷ đơn đã nhận hàng</w:t>
            </w:r>
          </w:p>
        </w:tc>
        <w:tc>
          <w:tcPr>
            <w:tcW w:type="dxa" w:w="60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cho huỷ.</w:t>
            </w:r>
          </w:p>
        </w:tc>
      </w:tr>
    </w:tbl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 Bản in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Phiếu in: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Đơn nhập hàng</w:t>
      </w:r>
      <w:r>
        <w:rPr>
          <w:rFonts w:ascii="Arial" w:cs="Arial" w:eastAsia="Arial" w:hAnsi="Arial"/>
          <w:sz w:val="21"/>
          <w:szCs w:val="21"/>
        </w:rPr>
        <w:t xml:space="preserve">, dựng bằng khuôn in chung (ATL-26): tiêu đề công ty (logo + tên + địa chỉ, mã số thuế, điện thoại, email, website có nhãn) và số phiếu, tiêu đề, khối thông tin, bảng, khối ký, chân trang "In lúc … · người in".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Khối thông tin: nhà cung cấp (kèm mã), mã số thuế, điện thoại, địa chỉ, trạng thái, ghi chú; bảng: STT, mã hàng, tên hàng, ĐVT, số lượng, đơn giá, thành tiền, thuế, tiền thuế; tổng tiền hàng, thuế GTGT, tổng thanh toán và "Bằng chữ"; ký: Người lập đơn, Thủ kho, Nhà cung cấp, Giám đốc.</w:t>
      </w:r>
    </w:p>
    <w:p>
      <w:pPr>
        <w:pStyle w:val="Heading1"/>
        <w:keepNext/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 Ghi chú &amp; giới hạn hiện tại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Chưa có luồng thanh toán trên đơn: tiền trả NCC đi qua Phiếu chi và đối trừ công nợ.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sz w:val="21"/>
          <w:szCs w:val="21"/>
        </w:rPr>
        <w:t xml:space="preserve">Hệ thống hiện chạy trên dữ liệu mô phỏng (mock) trong trình duyệt; các quy tắc dưới đây là hành vi đã cài đặt ở giao diện và sẽ ánh xạ 1:1 sang API backend.</w:t>
      </w:r>
    </w:p>
    <w:sectPr>
      <w:headerReference w:type="default" r:id="rId6"/>
      <w:footerReference w:type="default" r:id="rId7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7"/>
        <w:szCs w:val="17"/>
      </w:rPr>
      <w:t xml:space="preserve">Trang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PAGE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  <w:r>
      <w:rPr>
        <w:rFonts w:ascii="Arial" w:cs="Arial" w:eastAsia="Arial" w:hAnsi="Arial"/>
        <w:color w:val="7F7F7F"/>
        <w:sz w:val="17"/>
        <w:szCs w:val="17"/>
      </w:rPr>
      <w:t xml:space="preserve"> / </w:t>
    </w:r>
    <w:r>
      <w:rPr>
        <w:rFonts w:ascii="Arial" w:cs="Arial" w:eastAsia="Arial" w:hAnsi="Arial"/>
        <w:color w:val="7F7F7F"/>
        <w:sz w:val="17"/>
        <w:szCs w:val="17"/>
      </w:rPr>
      <w:fldChar w:fldCharType="begin"/>
    </w:r>
    <w:r>
      <w:rPr>
        <w:rFonts w:ascii="Arial" w:cs="Arial" w:eastAsia="Arial" w:hAnsi="Arial"/>
        <w:color w:val="7F7F7F"/>
        <w:sz w:val="17"/>
        <w:szCs w:val="17"/>
      </w:rPr>
      <w:instrText xml:space="preserve">NUMPAGES</w:instrText>
    </w:r>
    <w:r>
      <w:rPr>
        <w:rFonts w:ascii="Arial" w:cs="Arial" w:eastAsia="Arial" w:hAnsi="Arial"/>
        <w:color w:val="7F7F7F"/>
        <w:sz w:val="17"/>
        <w:szCs w:val="17"/>
      </w:rPr>
      <w:fldChar w:fldCharType="separate"/>
    </w:r>
    <w:r>
      <w:rPr>
        <w:rFonts w:ascii="Arial" w:cs="Arial" w:eastAsia="Arial" w:hAnsi="Arial"/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6" w:space="2"/>
      </w:pBdr>
      <w:tabs>
        <w:tab w:val="right" w:pos="9638"/>
      </w:tabs>
    </w:pPr>
    <w:r>
      <w:rPr>
        <w:rFonts w:ascii="Arial" w:cs="Arial" w:eastAsia="Arial" w:hAnsi="Arial"/>
        <w:color w:val="7F7F7F"/>
        <w:sz w:val="17"/>
        <w:szCs w:val="17"/>
      </w:rPr>
      <w:t xml:space="preserve">Ninh Trang ERP — Tài liệu Atlas</w:t>
    </w:r>
    <w:r>
      <w:rPr>
        <w:rFonts w:ascii="Arial" w:cs="Arial" w:eastAsia="Arial" w:hAnsi="Arial"/>
        <w:color w:val="7F7F7F"/>
        <w:sz w:val="17"/>
        <w:szCs w:val="17"/>
      </w:rPr>
      <w:t xml:space="preserve">	ATL-09 · Đơn nhập hàng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ATL-09 — Đơn nhập hàng</dc:title>
  <dc:creator>Ninh Trang ERP</dc:creator>
  <cp:lastModifiedBy>Un-named</cp:lastModifiedBy>
  <cp:revision>1</cp:revision>
  <dcterms:created xsi:type="dcterms:W3CDTF">2026-10-21T23:58:16.560Z</dcterms:created>
  <dcterms:modified xsi:type="dcterms:W3CDTF">2026-10-21T23:58:16.560Z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