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Khách hàng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ATL-11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/khach-hang, /khach-hang/them-moi, /khach-hang/:id, /khach-hang/:id/sua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bạ khách hàng: loại khách (lẻ / sỉ / dropship) quyết định bảng giá, số ngày được nợ quyết định hạn thu tiền, nhiều địa chỉ giao hàng, thẻ đánh dấu; chi tiết khách tổng hợp đơn hàng, doanh số và công nợ.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Sale: thêm, sửa khách, chăm sóc.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xem công nợ.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lý: xem toàn bộ.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customer.view / create / update / delete.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khách hàng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loại khách &amp; số ngày được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Khai báo địa chỉ giao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Lập đơn hàng bán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Theo dõi doanh số &amp; công nợ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khách: tên, tên công ty, loại khách, số ngày được nợ, điện thoại, email, CCCD, mã số thuế cá nhân / công ty, ghi chú, thẻ đánh dấu.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KH cấp tự động; cảnh báo nếu trùng điện thoại, mã số thuế hoặc tên với khách khác.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nhiều địa chỉ giao; đánh dấu địa chỉ mặc định.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Luôn có đúng một địa chỉ mặc định khi có địa chỉ.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thẻ đánh dấu (ví dụ khách quen, VIP).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dùng chung với đơn hàng bán.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hàng bán từ chi tiết khách.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khách chọn bảng giá; địa chỉ mặc định điền sẵn.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 / 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theo dõi khi khách không còn giao dịch.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Đổi trạng thái, không xoá; đơn và công nợ giữ nguyên.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tên, mã, điện thoại, mã số thuế; lọc Loại khách, Thẻ, Trạng thái, nút "Còn công nợ"; sắp xếp; xuất Excel. Cột: Mã KH, Tên, Loại, Thẻ, Liên hệ, MST, Được nợ, Đơn hàng, Đã mua, Còn phải thu, Trạng thái.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Khối: Thông tin chung (mã tự cấp, tên bắt buộc, tên công ty, loại khách, số ngày được nợ, điện thoại, email, thẻ đánh dấu) · Giấy tờ (CCCD, MST cá nhân, MST công ty) · Ghi chú · Địa chỉ giao hàng (tên điểm giao, người nhận, điện thoại, địa chỉ).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khách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Tab Thông tin chung · Địa chỉ giao hàng · Đơn hàng · Sổ công nợ. Nút: Danh sách, Lập đơn hàng, Lập phiếu thu, Sửa, Ngừng theo dõi / Theo dõi lại.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theo dõi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được khi lập đơn.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theo dõi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theo dõi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hiện ở lựa chọn đơn mới; lịch sử giữ.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dõi lại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Loại khách</w:t>
      </w:r>
      <w:r>
        <w:rPr>
          <w:rFonts w:ascii="Arial" w:cs="Arial" w:eastAsia="Arial" w:hAnsi="Arial"/>
          <w:sz w:val="21"/>
          <w:szCs w:val="21"/>
        </w:rPr>
        <w:t xml:space="preserve"> quyết định giá bán: Khách lẻ → Giá lẻ; Khách sỉ → Giá sỉ; Dropship → Giá dropship.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Số ngày được nợ</w:t>
      </w:r>
      <w:r>
        <w:rPr>
          <w:rFonts w:ascii="Arial" w:cs="Arial" w:eastAsia="Arial" w:hAnsi="Arial"/>
          <w:sz w:val="21"/>
          <w:szCs w:val="21"/>
        </w:rPr>
        <w:t xml:space="preserve"> (0 = trả khi nhận hàng): hạn thu = ngày khách nhận hàng + số ngày được nợ.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Tên hiện trên chứng từ: có tên công ty thì dùng tên công ty.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Đơn hàng, doanh số, công nợ của khách đều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suy ra từ dữ liệu</w:t>
      </w:r>
      <w:r>
        <w:rPr>
          <w:rFonts w:ascii="Arial" w:cs="Arial" w:eastAsia="Arial" w:hAnsi="Arial"/>
          <w:sz w:val="21"/>
          <w:szCs w:val="21"/>
        </w:rPr>
        <w:t xml:space="preserve">, không lưu trên khách.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Không xoá khách: Ngừng theo dõi chỉ đổi trạng thái.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Cảnh báo trùng điện thoại / mã số thuế / tên khi lưu.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Khách đã ngừng theo dõi không xuất hiện ở báo cáo Khách ngừng mua.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 + 7 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khách.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companyName,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tên công ty, LE / SI / DROPSHIP.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phone, email, idNumber, personalTaxCode, companyTaxCode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Điện thoại, email, CCCD, MST cá nhân, MST công ty (có kiểm tra định dạng).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creditDays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ngày được nợ.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addresses[]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Địa chỉ giao, có cờ mặc định.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tagIds, isActive, note, createdAt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Thẻ, trạng thái, ghi chú.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gắn khách; giá theo loại khách.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(ATL-15)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và tuổi nợ theo khách.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đánh dấu (ATL-21)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thẻ cho khách.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thông tin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Cảnh báo, cho phép sửa hoặc vẫn lưu.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tìm thấy khách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Trang trống kèm nút về danh sách.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Đường dẫn /khach-hang/them tự chuyển sang /khach-hang/them-moi.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ATL-11 · Khách hàng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ATL-11 — Khách hàng</dc:title>
  <dc:creator>Ninh Trang ERP</dc:creator>
  <cp:lastModifiedBy>Un-named</cp:lastModifiedBy>
  <cp:revision>1</cp:revision>
  <dcterms:created xsi:type="dcterms:W3CDTF">2026-10-21T23:58:16.620Z</dcterms:created>
  <dcterms:modified xsi:type="dcterms:W3CDTF">2026-10-21T23:58:16.620Z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