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Màu hiển thị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/thiet-lap/mau-hien-thi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Chọn màu cho các nhãn tính chất và trạng thái trên toàn hệ thống để người dùng nhận biết nhanh bằng màu. Trang chia theo nhóm nhãn (12 nhóm); mỗi nhóm có xem trước cả bộ nhãn trên nền sáng và nền tối.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trị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Thuộc nhóm Thiết lập; chưa có mã quyền riêng.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nhóm nhãn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bộ nhãn trên nền sáng / tối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màu cho từng giá trị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Khôi phục mặc định (nếu cần)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một nhóm ở cột trái (ví dụ Trạng thái đơn hàng bán). Mỗi nhóm hiện các chấm màu hiện tại và số mục đã đổi.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nhóm hiện ở bên phải.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khối "Nền sáng" và "Nền tối": toàn bộ nhãn của nhóm hiển thị cạnh nhau.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Đánh giá được độ hài hoà và độ rõ của cả bộ màu.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Với từng giá trị bấm một trong 12 ô màu (có Xám), hoặc bấm "Tuỳ chỉnh sắc độ" và kéo thanh trượt cầu vồng.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Nhãn đổi ngay ở mọi trang; dòng giá trị ghi tên màu và "đã đổi".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"Khôi phục mặc định" của nhóm hoặc "Khôi phục tất cả mặc định" ở đầu trang.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các màu đã đổi.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nhóm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từng nhóm: tên, nhãn "N đã đổi", chuỗi chấm màu của các giá trị; màn hình dưới 1100 px thành dải cuộn ngang.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chi tiết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nhóm, mô tả nơi nhãn xuất hiện, nút Khôi phục mặc định; hai khung xem trước Nền sáng / Nền tối chứa cả bộ nhãn.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giá trị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dòng: nhãn, tên màu hiện tại, 12 ô màu chọn nhanh, "Tuỳ chỉnh sắc độ" mở thanh trượt (mỗi lần một dòng) kèm giá trị độ.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sắc độ (hue)</w:t>
      </w:r>
      <w:r>
        <w:rPr>
          <w:rFonts w:ascii="Arial" w:cs="Arial" w:eastAsia="Arial" w:hAnsi="Arial"/>
          <w:sz w:val="21"/>
          <w:szCs w:val="21"/>
        </w:rPr>
        <w:t xml:space="preserve"> cho từng giá trị, hoặc Xám; độ sáng và độ đậm cố định theo thiết kế nên luôn đủ tương phản ở cả nền sáng và nền tối.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Đổi màu chỉ đổi cách hiển thị, không đổi dữ liệu.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Một nhóm dùng cùng một công thức nhãn ở mọi màn hình để nhất quán.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được lưu trong trình duyệt này; khi có máy chủ sẽ lưu theo công ty và chỉ người có quyền Sửa thông tin công ty được đổi.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danh sách có nhãn trạng thái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Chip trạng thái lấy màu từ đây.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đánh dấu (ATL-21)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Dùng chung bảng màu.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màu trùng nhau giữa các giá trị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 phép; nhận biết bằng nhãn chữ.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Các nhóm nhãn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4284"/>
      </w:tblGrid>
      <w:tr>
        <w:trPr>
          <w:cantSplit/>
          <w:tblHeader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Nhóm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Áp dụng ở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chất hàng hoá (product-type)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kinh doanh (business-status)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khách (customer-type)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khách (customer-status)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nhà cung cấp (supplier-status)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đơn hàng bán (sales-order)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đơn nhập (purchase-order)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lệnh sản xuất (production-order)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Lệnh sản xuất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chuyến (delivery-trip)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phiếu kho (warehouse-voucher)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Tình trạng xe (vehicle-status)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xe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người dùng (user-status)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Màu đã đổi được lưu trong trình duyệt (localStorage); API được thiết kế để sau này đổi sang lưu ở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ATL-24 · Màu hiển thị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ATL-24 — Màu hiển thị</dc:title>
  <dc:creator>Ninh Trang ERP</dc:creator>
  <cp:lastModifiedBy>Un-named</cp:lastModifiedBy>
  <cp:revision>1</cp:revision>
  <dcterms:created xsi:type="dcterms:W3CDTF">2026-10-21T23:58:17.040Z</dcterms:created>
  <dcterms:modified xsi:type="dcterms:W3CDTF">2026-10-21T23:58:17.040Z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