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7F7F7F"/>
          <w:sz w:val="18"/>
          <w:szCs w:val="18"/>
        </w:rPr>
        <w:t xml:space="preserve">TÀI LIỆU ATLAS — CHỨC NĂNG</w:t>
      </w:r>
    </w:p>
    <w:p>
      <w:pPr>
        <w:spacing w:after="120"/>
      </w:pPr>
      <w:r>
        <w:rPr>
          <w:rFonts w:ascii="Arial" w:cs="Arial" w:eastAsia="Arial" w:hAnsi="Arial"/>
          <w:b/>
          <w:bCs/>
          <w:color w:val="1F3864"/>
          <w:sz w:val="40"/>
          <w:szCs w:val="40"/>
        </w:rPr>
        <w:t xml:space="preserve">Tổng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 tài liệu</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ATL-02</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Tổng quan</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/tong-quan</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Phiên bản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1.0 — 22/10/2026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Ninh Trang ERP — quản lý bán hàng, kho, sản xuất, giao hàng, công nợ</w:t>
            </w:r>
          </w:p>
        </w:tc>
      </w:tr>
    </w:tbl>
    <w:p>
      <w:pPr>
        <w:spacing w:after="80"/>
      </w:pPr>
    </w:p>
    <w:p>
      <w:pPr>
        <w:pStyle w:val="Heading1"/>
        <w:keepNext/>
        <w:spacing w:after="120" w:before="320"/>
      </w:pPr>
      <w:r>
        <w:rPr>
          <w:rFonts w:ascii="Arial" w:cs="Arial" w:eastAsia="Arial" w:hAnsi="Arial"/>
          <w:b/>
          <w:bCs/>
          <w:color w:val="1F3864"/>
          <w:sz w:val="28"/>
          <w:szCs w:val="28"/>
        </w:rPr>
        <w:t xml:space="preserve">1. Tổng quan</w:t>
      </w:r>
    </w:p>
    <w:p>
      <w:pPr>
        <w:pStyle w:val="Heading2"/>
        <w:keepNext/>
        <w:spacing w:after="80" w:before="200"/>
      </w:pPr>
      <w:r>
        <w:rPr>
          <w:rFonts w:ascii="Arial" w:cs="Arial" w:eastAsia="Arial" w:hAnsi="Arial"/>
          <w:b/>
          <w:bCs/>
          <w:color w:val="2F5496"/>
          <w:sz w:val="24"/>
          <w:szCs w:val="24"/>
        </w:rPr>
        <w:t xml:space="preserve">Mục đích</w:t>
      </w:r>
    </w:p>
    <w:p>
      <w:pPr>
        <w:spacing w:after="100" w:before="0" w:line="300"/>
      </w:pPr>
      <w:r>
        <w:rPr>
          <w:rFonts w:ascii="Arial" w:cs="Arial" w:eastAsia="Arial" w:hAnsi="Arial"/>
          <w:sz w:val="21"/>
          <w:szCs w:val="21"/>
        </w:rPr>
        <w:t xml:space="preserve">Bảng điều khiển cho chủ doanh nghiệp, sắp xếp để nhìn vào là biết ngay vấn đề nằm ở đâu: trên cùng là danh sách "Cần xử lý" xếp theo mức nghiêm trọng, kế đó là 4 con số chính có màu tốt/xấu, rồi xu hướng doanh thu và một thẻ cho từng mảng (bán hàng, kho, lợi nhuận, công nợ, dòng tiền) với trạng thái Ổn / Cần theo dõi / Có vấn đề. Mỗi dòng bấm vào được màn hình chi tiết.</w:t>
      </w:r>
    </w:p>
    <w:p>
      <w:pPr>
        <w:pStyle w:val="Heading2"/>
        <w:keepNext/>
        <w:spacing w:after="80" w:before="200"/>
      </w:pPr>
      <w:r>
        <w:rPr>
          <w:rFonts w:ascii="Arial" w:cs="Arial" w:eastAsia="Arial" w:hAnsi="Arial"/>
          <w:b/>
          <w:bCs/>
          <w:color w:val="2F5496"/>
          <w:sz w:val="24"/>
          <w:szCs w:val="24"/>
        </w:rPr>
        <w:t xml:space="preserve">Đối tượng sử dụng</w:t>
      </w:r>
    </w:p>
    <w:p>
      <w:pPr>
        <w:pStyle w:val="ListParagraph"/>
        <w:numPr>
          <w:ilvl w:val="0"/>
          <w:numId w:val="2"/>
        </w:numPr>
        <w:spacing w:after="60" w:line="290"/>
      </w:pPr>
      <w:r>
        <w:rPr>
          <w:rFonts w:ascii="Arial" w:cs="Arial" w:eastAsia="Arial" w:hAnsi="Arial"/>
          <w:sz w:val="21"/>
          <w:szCs w:val="21"/>
        </w:rPr>
        <w:t xml:space="preserve">CEO / Quản lý: xem toàn bộ.</w:t>
      </w:r>
    </w:p>
    <w:p>
      <w:pPr>
        <w:pStyle w:val="ListParagraph"/>
        <w:numPr>
          <w:ilvl w:val="0"/>
          <w:numId w:val="2"/>
        </w:numPr>
        <w:spacing w:after="60" w:line="290"/>
      </w:pPr>
      <w:r>
        <w:rPr>
          <w:rFonts w:ascii="Arial" w:cs="Arial" w:eastAsia="Arial" w:hAnsi="Arial"/>
          <w:sz w:val="21"/>
          <w:szCs w:val="21"/>
        </w:rPr>
        <w:t xml:space="preserve">Kế toán: xem công nợ và dòng tiền.</w:t>
      </w:r>
    </w:p>
    <w:p>
      <w:pPr>
        <w:pStyle w:val="Heading2"/>
        <w:keepNext/>
        <w:spacing w:after="80" w:before="200"/>
      </w:pPr>
      <w:r>
        <w:rPr>
          <w:rFonts w:ascii="Arial" w:cs="Arial" w:eastAsia="Arial" w:hAnsi="Arial"/>
          <w:b/>
          <w:bCs/>
          <w:color w:val="2F5496"/>
          <w:sz w:val="24"/>
          <w:szCs w:val="24"/>
        </w:rPr>
        <w:t xml:space="preserve">Quyền liên quan</w:t>
      </w:r>
    </w:p>
    <w:p>
      <w:pPr>
        <w:spacing w:after="100" w:before="0" w:line="300"/>
      </w:pPr>
      <w:r>
        <w:rPr>
          <w:rFonts w:ascii="Arial" w:cs="Arial" w:eastAsia="Arial" w:hAnsi="Arial"/>
          <w:sz w:val="21"/>
          <w:szCs w:val="21"/>
        </w:rPr>
        <w:t xml:space="preserve">dashboard.view.</w:t>
      </w:r>
    </w:p>
    <w:p>
      <w:pPr>
        <w:spacing w:after="100" w:before="0" w:line="300"/>
      </w:pPr>
      <w:r>
        <w:rPr>
          <w:rFonts w:ascii="Arial" w:cs="Arial" w:eastAsia="Arial" w:hAnsi="Arial"/>
          <w:i/>
          <w:iCs/>
          <w:sz w:val="19"/>
          <w:szCs w:val="19"/>
        </w:rPr>
        <w:t xml:space="preserve">Lưu ý: các mã quyền là danh mục đã định nghĩa (xem ATL-23); giao diện hiện chưa kiểm tra quyền — mọi tài khoản đăng nhập đều xem và dùng được mọi chức năng.</w:t>
      </w:r>
    </w:p>
    <w:p>
      <w:pPr>
        <w:pStyle w:val="Heading1"/>
        <w:keepNext/>
        <w:spacing w:after="120" w:before="320"/>
      </w:pPr>
      <w:r>
        <w:rPr>
          <w:rFonts w:ascii="Arial" w:cs="Arial" w:eastAsia="Arial" w:hAnsi="Arial"/>
          <w:b/>
          <w:bCs/>
          <w:color w:val="1F3864"/>
          <w:sz w:val="28"/>
          <w:szCs w:val="28"/>
        </w:rPr>
        <w:t xml:space="preserve">2. Quy trình (workflow)</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Chọn kỳ</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Đọc "Cần xử lý" (việc nghiêm trọng trước)</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Xem 4 chỉ số chính</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Xem trạng thái từng mảng</w:t>
            </w:r>
          </w:p>
        </w:tc>
      </w:tr>
    </w:tbl>
    <w:p>
      <w:pPr>
        <w:spacing w:after="40" w:before="40" w:line="300"/>
        <w:jc w:val="center"/>
      </w:pPr>
      <w:r>
        <w:rPr>
          <w:rFonts w:ascii="Arial" w:cs="Arial" w:eastAsia="Arial" w:hAnsi="Arial"/>
          <w:color w:val="7F7F7F"/>
          <w:sz w:val="17"/>
          <w:szCs w:val="17"/>
        </w:rPr>
        <w:t xml:space="preserve">↓ tiếp theo</w:t>
      </w:r>
    </w:p>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Bấm vào dòng / số → mở đúng màn hình để xử lý</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1490"/>
        <w:gridCol w:w="3974"/>
        <w:gridCol w:w="3578"/>
      </w:tblGrid>
      <w:tr>
        <w:trPr>
          <w:cantSplit/>
          <w:tblHeader/>
        </w:trPr>
        <w:tc>
          <w:tcPr>
            <w:tcW w:type="dxa" w:w="59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49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9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35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Chọn kỳ (mặc định tháng này, tối đa tới hôm nay).</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Mọi số liệu tính lại cho kỳ; công nợ và tồn quỹ luôn là toàn bộ lịch sử.</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Đọc khối "Cần xử lý" ở đầu trang.</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Mỗi dòng gồm mức độ (Nghiêm trọng / Theo dõi), việc gì, vì sao đáng lo, thuộc mảng nào và nút mở màn hình xử lý. Nghiêm trọng xếp trước. Không có vấn đề thì hiện thông báo màu xanh.</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Đọc 4 ô số: Doanh thu, Lãi gộp (ước tính), Khách còn nợ, Tiền quỹ hiện có.</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Mỗi ô có dòng so sánh tô xanh khi tốt, đỏ khi xấu (so kỳ trước, nợ quá hạn, thu − chi) và một dòng giải thích bên dưới.</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Xem biểu đồ doanh thu và mặt hàng bán chạy.</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Biểu đồ theo ngày; kỳ dài hơn 62 ngày gom theo tháng.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5</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Xem "Tình hình từng mảng".</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Năm thẻ: Bán hàng &amp; giao hàng, Kho &amp; mua hàng, Lợi nhuận, Công nợ, Dòng tiền. Mỗi thẻ có nhãn trạng thái và các dòng số liệu; dòng có vấn đề được tô màu.</w:t>
            </w:r>
          </w:p>
        </w:tc>
      </w:tr>
    </w:tbl>
    <w:p>
      <w:pPr>
        <w:pStyle w:val="Heading1"/>
        <w:keepNext/>
        <w:spacing w:after="120" w:before="320"/>
      </w:pPr>
      <w:r>
        <w:rPr>
          <w:rFonts w:ascii="Arial" w:cs="Arial" w:eastAsia="Arial" w:hAnsi="Arial"/>
          <w:b/>
          <w:bCs/>
          <w:color w:val="1F3864"/>
          <w:sz w:val="28"/>
          <w:szCs w:val="28"/>
        </w:rPr>
        <w:t xml:space="preserve">3. Màn hình &amp;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Màn hình / thành phần</w:t>
            </w:r>
          </w:p>
        </w:tc>
        <w:tc>
          <w:tcPr>
            <w:tcW w:type="dxa" w:w="722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Bộ chọn kỳ</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Các mốc: hôm nay, hôm qua, 7/30 ngày qua, tuần, tháng, quý, năm (nay/trước) và tuỳ chọn khoảng ngày.</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Cần xử lý</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Khối có vạch mực bên trái; đầu khối đếm "N nghiêm trọng · N cần theo dõi". Mỗi dòng: nhãn mức độ, tiêu đề (ví dụ "Khách nợ quá hạn 14.696.000 ₫"), một câu giải thích, tên mảng, nút "Xem …". Trên điện thoại mỗi dòng xếp thành khối dọc.</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 ô chỉ số</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Doanh thu (+ số đơn, trung bình/đơn, % so kỳ trước) → Báo cáo Doanh thu; Lãi gộp ước tính (+ tỷ suất so kỳ trước) → Báo cáo Lãi gộp; Khách còn nợ (+ quá hạn, phải trả NCC) → Công nợ phải thu; Tiền quỹ hiện có (+ thu − chi trong kỳ) → Phiếu thu chi.</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Doanh thu theo ngày/tháng</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Biểu đồ cột; kỳ rỗng hiện "Chưa có doanh thu trong kỳ này".</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Mặt hàng bán chạy</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Xếp hạng theo doanh thu trong kỳ, kèm số lượng và tỷ trọng.</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Thẻ từng mảng</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Bán hàng &amp; giao hàng: đơn chờ sản xuất, đang giao, trễ hẹn, khách ngừng mua. Kho &amp; mua hàng: hàng dưới tồn tối thiểu, đơn nhập chờ nhận. Lợi nhuận: tỷ suất lãi gộp, bán dưới giá vốn, chiết khấu. Công nợ: phải thu / phải trả và phần quá hạn, đến hạn 7 ngày. Dòng tiền: thu, chi, thu − chi, tồn quỹ từng tài khoản.</w:t>
            </w:r>
          </w:p>
        </w:tc>
      </w:tr>
    </w:tbl>
    <w:p>
      <w:pPr>
        <w:pStyle w:val="Heading1"/>
        <w:keepNext/>
        <w:spacing w:after="120" w:before="320"/>
      </w:pPr>
      <w:r>
        <w:rPr>
          <w:rFonts w:ascii="Arial" w:cs="Arial" w:eastAsia="Arial" w:hAnsi="Arial"/>
          <w:b/>
          <w:bCs/>
          <w:color w:val="1F3864"/>
          <w:sz w:val="28"/>
          <w:szCs w:val="28"/>
        </w:rPr>
        <w:t xml:space="preserve">4. Quy tắc nghiệp vụ</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Doanh thu</w:t>
      </w:r>
      <w:r>
        <w:rPr>
          <w:rFonts w:ascii="Arial" w:cs="Arial" w:eastAsia="Arial" w:hAnsi="Arial"/>
          <w:sz w:val="21"/>
          <w:szCs w:val="21"/>
        </w:rPr>
        <w:t xml:space="preserve"> ghi nhận khi khách thực nhận hàng, đúng bằng số đã vào công nợ phải thu, vào ngày giao; đơn huỷ và đơn chưa giao không tính.</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Kỳ trước</w:t>
      </w:r>
      <w:r>
        <w:rPr>
          <w:rFonts w:ascii="Arial" w:cs="Arial" w:eastAsia="Arial" w:hAnsi="Arial"/>
          <w:sz w:val="21"/>
          <w:szCs w:val="21"/>
        </w:rPr>
        <w:t xml:space="preserve"> là khoảng liền trước, cùng độ dài kỳ đang xem; không có số kỳ trước thì không hiện %.</w:t>
      </w:r>
    </w:p>
    <w:p>
      <w:pPr>
        <w:pStyle w:val="ListParagraph"/>
        <w:numPr>
          <w:ilvl w:val="0"/>
          <w:numId w:val="3"/>
        </w:numPr>
        <w:spacing w:after="70" w:line="290"/>
      </w:pPr>
      <w:r>
        <w:rPr>
          <w:rFonts w:ascii="Arial" w:cs="Arial" w:eastAsia="Arial" w:hAnsi="Arial"/>
          <w:sz w:val="21"/>
          <w:szCs w:val="21"/>
        </w:rPr>
        <w:t xml:space="preserve">Kỳ chọn "Tháng này / Quý này…" chỉ tính tới hôm nay, không tính ngày tương lai.</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Lãi gộp</w:t>
      </w:r>
      <w:r>
        <w:rPr>
          <w:rFonts w:ascii="Arial" w:cs="Arial" w:eastAsia="Arial" w:hAnsi="Arial"/>
          <w:sz w:val="21"/>
          <w:szCs w:val="21"/>
        </w:rPr>
        <w:t xml:space="preserve"> = doanh thu − giá vốn ước tính. Giá vốn ước tính: vật tư theo giá nhập gần nhất; thành phẩm theo định mức × giá vật tư; dịch vụ = 0. Có nhãn "ước tính".</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Phần trăm</w:t>
      </w:r>
      <w:r>
        <w:rPr>
          <w:rFonts w:ascii="Arial" w:cs="Arial" w:eastAsia="Arial" w:hAnsi="Arial"/>
          <w:sz w:val="21"/>
          <w:szCs w:val="21"/>
        </w:rPr>
        <w:t xml:space="preserve"> hiển thị dạng "▲ +12,5%" / "▼ −60,8%" (dấu phẩy thập phân, dấu trừ thật).</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Nghiêm trọng</w:t>
      </w:r>
      <w:r>
        <w:rPr>
          <w:rFonts w:ascii="Arial" w:cs="Arial" w:eastAsia="Arial" w:hAnsi="Arial"/>
          <w:sz w:val="21"/>
          <w:szCs w:val="21"/>
        </w:rPr>
        <w:t xml:space="preserve"> (đã gây thiệt hại hoặc đã quá hạn): đơn trễ hẹn giao; khách nợ quá hạn; nợ nhà cung cấp quá hạn; có dòng bán dưới giá vốn; lãi gộp âm; tài khoản quỹ âm.</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Cần theo dõi</w:t>
      </w:r>
      <w:r>
        <w:rPr>
          <w:rFonts w:ascii="Arial" w:cs="Arial" w:eastAsia="Arial" w:hAnsi="Arial"/>
          <w:sz w:val="21"/>
          <w:szCs w:val="21"/>
        </w:rPr>
        <w:t xml:space="preserve"> (sắp xảy ra hoặc nên xem): phải trả NCC đến hạn trong 7 ngày (khi chưa có khoản quá hạn); tỷ suất lãi gộp giảm hơn 5 điểm so kỳ trước; chiết khấu từ 10% giá trị hàng; doanh thu giảm từ 20% so kỳ trước; có khách ngừng mua; hàng dưới tồn tối thiểu; chi vượt thu trong kỳ.</w:t>
      </w:r>
    </w:p>
    <w:p>
      <w:pPr>
        <w:pStyle w:val="ListParagraph"/>
        <w:numPr>
          <w:ilvl w:val="0"/>
          <w:numId w:val="3"/>
        </w:numPr>
        <w:spacing w:after="70" w:line="290"/>
      </w:pPr>
      <w:r>
        <w:rPr>
          <w:rFonts w:ascii="Arial" w:cs="Arial" w:eastAsia="Arial" w:hAnsi="Arial"/>
          <w:sz w:val="21"/>
          <w:szCs w:val="21"/>
        </w:rPr>
        <w:t xml:space="preserve">Các việc chỉ là tiến độ bình thường (đơn chờ sản xuất, đơn đang giao, đơn nhập chờ nhận) </w:t>
      </w:r>
      <w:r>
        <w:rPr>
          <w:rFonts w:ascii="Arial" w:cs="Arial" w:eastAsia="Arial" w:hAnsi="Arial"/>
          <w:b/>
          <w:bCs/>
          <w:sz w:val="21"/>
          <w:szCs w:val="21"/>
        </w:rPr>
        <w:t xml:space="preserve">không</w:t>
      </w:r>
      <w:r>
        <w:rPr>
          <w:rFonts w:ascii="Arial" w:cs="Arial" w:eastAsia="Arial" w:hAnsi="Arial"/>
          <w:sz w:val="21"/>
          <w:szCs w:val="21"/>
        </w:rPr>
        <w:t xml:space="preserve"> bị tính là vấn đề; chúng nằm trong thẻ từng mảng.</w:t>
      </w:r>
    </w:p>
    <w:p>
      <w:pPr>
        <w:pStyle w:val="ListParagraph"/>
        <w:numPr>
          <w:ilvl w:val="0"/>
          <w:numId w:val="3"/>
        </w:numPr>
        <w:spacing w:after="70" w:line="290"/>
      </w:pPr>
      <w:r>
        <w:rPr>
          <w:rFonts w:ascii="Arial" w:cs="Arial" w:eastAsia="Arial" w:hAnsi="Arial"/>
          <w:sz w:val="21"/>
          <w:szCs w:val="21"/>
        </w:rPr>
        <w:t xml:space="preserve">Trạng thái mỗi thẻ mảng lấy theo vấn đề nặng nhất của mảng đó trong danh sách "Cần xử lý"; không có vấn đề thì là "Ổn". Hai nơi luôn khớp nhau vì dùng chung một định nghĩa.</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Đơn trễ hẹn giao:</w:t>
      </w:r>
      <w:r>
        <w:rPr>
          <w:rFonts w:ascii="Arial" w:cs="Arial" w:eastAsia="Arial" w:hAnsi="Arial"/>
          <w:sz w:val="21"/>
          <w:szCs w:val="21"/>
        </w:rPr>
        <w:t xml:space="preserve"> có ngày cần giao đã qua, chưa kết thúc, chưa Hoàn thành/Huỷ/Trả toàn bộ và còn dòng chưa giao hết.</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Hàng dưới tồn tối thiểu:</w:t>
      </w:r>
      <w:r>
        <w:rPr>
          <w:rFonts w:ascii="Arial" w:cs="Arial" w:eastAsia="Arial" w:hAnsi="Arial"/>
          <w:sz w:val="21"/>
          <w:szCs w:val="21"/>
        </w:rPr>
        <w:t xml:space="preserve"> hàng đang kinh doanh, không phải dịch vụ, có tồn tối thiểu &gt; 0 và tổng tồn các kho nhỏ hơn mức đó.</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Khách ngừng mua:</w:t>
      </w:r>
      <w:r>
        <w:rPr>
          <w:rFonts w:ascii="Arial" w:cs="Arial" w:eastAsia="Arial" w:hAnsi="Arial"/>
          <w:sz w:val="21"/>
          <w:szCs w:val="21"/>
        </w:rPr>
        <w:t xml:space="preserve"> khách đang theo dõi, từng nhận hàng nhưng lần nhận cuối cách hôm nay hơn 60 ngày.</w:t>
      </w:r>
    </w:p>
    <w:p>
      <w:pPr>
        <w:pStyle w:val="Heading1"/>
        <w:keepNext/>
        <w:spacing w:after="120" w:before="320"/>
      </w:pPr>
      <w:r>
        <w:rPr>
          <w:rFonts w:ascii="Arial" w:cs="Arial" w:eastAsia="Arial" w:hAnsi="Arial"/>
          <w:b/>
          <w:bCs/>
          <w:color w:val="1F3864"/>
          <w:sz w:val="28"/>
          <w:szCs w:val="28"/>
        </w:rPr>
        <w:t xml:space="preserve">5. Liên kết với chức năng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702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Quan hệ</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hàng bán (ATL-12)</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trễ hẹn, chờ sản xuất, đang giao mở danh sách đã lọc (?status=PENDING|SHIPPING, ?late=1).</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Tồn kho (ATL-05)</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Hàng dưới tồn tối thiểu mở /kho/ton-kho?belowMin=true.</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Tuổi nợ (ATL-19)</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Khách nợ quá hạn và nợ nhà cung cấp mở màn hình Tuổi nợ (phải thu / phải trả).</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Báo cáo (ATL-03)</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Doanh thu, Lãi gộp, Bán dưới giá vốn, Chiết khấu đã cấp mở đúng báo cáo; Khách ngừng mua mở sẵn kỳ 60 ngày qua để khớp số trên Tổng quan.</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Công nợ (ATL-15)</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Ô Khách còn nợ mở Công nợ phải thu.</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thu chi (ATL-16)</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Ô Tiền quỹ và các dòng quỹ âm / chi vượt thu mở Phiếu thu chi.</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nhập hàng (ATL-09)</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Dòng Đơn nhập chờ nhận hàng.</w:t>
            </w:r>
          </w:p>
        </w:tc>
      </w:tr>
    </w:tbl>
    <w:p>
      <w:pPr>
        <w:pStyle w:val="Heading1"/>
        <w:keepNext/>
        <w:spacing w:after="120" w:before="320"/>
      </w:pPr>
      <w:r>
        <w:rPr>
          <w:rFonts w:ascii="Arial" w:cs="Arial" w:eastAsia="Arial" w:hAnsi="Arial"/>
          <w:b/>
          <w:bCs/>
          <w:color w:val="1F3864"/>
          <w:sz w:val="28"/>
          <w:szCs w:val="28"/>
        </w:rPr>
        <w:t xml:space="preserve">6. Trường hợp ngoại lệ &amp;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Tình huống</w:t>
            </w:r>
          </w:p>
        </w:tc>
        <w:tc>
          <w:tcPr>
            <w:tcW w:type="dxa" w:w="602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 xử lý</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có vấn đề nào</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Khối "Cần xử lý" hiện dòng xanh "Đơn giao đúng hẹn, công nợ trong hạn…"; mọi thẻ mảng ghi Ổn.</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Kỳ chưa có doanh thu</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Biểu đồ hiện trạng thái rỗng; các % so sánh ẩn nếu kỳ trước bằng 0.</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không có quyền xem giá vốn</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Theo thiết kế sẽ không hiện Lãi gộp (chưa áp dụng, xem ghi chú).</w:t>
            </w:r>
          </w:p>
        </w:tc>
      </w:tr>
    </w:tbl>
    <w:p>
      <w:pPr>
        <w:pStyle w:val="Heading1"/>
        <w:keepNext/>
        <w:spacing w:after="120" w:before="320"/>
      </w:pPr>
      <w:r>
        <w:rPr>
          <w:rFonts w:ascii="Arial" w:cs="Arial" w:eastAsia="Arial" w:hAnsi="Arial"/>
          <w:b/>
          <w:bCs/>
          <w:color w:val="1F3864"/>
          <w:sz w:val="28"/>
          <w:szCs w:val="28"/>
        </w:rPr>
        <w:t xml:space="preserve">7. Ghi chú &amp; giới hạn hiện tại</w:t>
      </w:r>
    </w:p>
    <w:p>
      <w:pPr>
        <w:pStyle w:val="ListParagraph"/>
        <w:numPr>
          <w:ilvl w:val="0"/>
          <w:numId w:val="2"/>
        </w:numPr>
        <w:spacing w:after="60" w:line="290"/>
      </w:pPr>
      <w:r>
        <w:rPr>
          <w:rFonts w:ascii="Arial" w:cs="Arial" w:eastAsia="Arial" w:hAnsi="Arial"/>
          <w:sz w:val="21"/>
          <w:szCs w:val="21"/>
        </w:rPr>
        <w:t xml:space="preserve">Số liệu bám sát công nợ phải thu: tổng doanh thu toàn bộ lịch sử khớp tổng công nợ phát sinh.</w:t>
      </w:r>
    </w:p>
    <w:p>
      <w:pPr>
        <w:pStyle w:val="ListParagraph"/>
        <w:numPr>
          <w:ilvl w:val="0"/>
          <w:numId w:val="2"/>
        </w:numPr>
        <w:spacing w:after="60" w:line="290"/>
      </w:pPr>
      <w:r>
        <w:rPr>
          <w:rFonts w:ascii="Arial" w:cs="Arial" w:eastAsia="Arial" w:hAnsi="Arial"/>
          <w:sz w:val="21"/>
          <w:szCs w:val="21"/>
        </w:rPr>
        <w:t xml:space="preserve">Ngưỡng của "Cần theo dõi" (5 điểm, 10%, 20%, 7 ngày, 60 ngày) là giá trị đặt sẵn trong chương trình; sau này nên cho Quản trị chỉnh trong Thiết lập.</w:t>
      </w:r>
    </w:p>
    <w:p>
      <w:pPr>
        <w:pStyle w:val="ListParagraph"/>
        <w:numPr>
          <w:ilvl w:val="0"/>
          <w:numId w:val="2"/>
        </w:numPr>
        <w:spacing w:after="60" w:line="290"/>
      </w:pPr>
      <w:r>
        <w:rPr>
          <w:rFonts w:ascii="Arial" w:cs="Arial" w:eastAsia="Arial" w:hAnsi="Arial"/>
          <w:sz w:val="21"/>
          <w:szCs w:val="21"/>
        </w:rPr>
        <w:t xml:space="preserve">Lãi gộp hiện cho mọi người dùng; việc ẩn giá vốn theo quyền chưa được áp dụng.</w:t>
      </w:r>
    </w:p>
    <w:p>
      <w:pPr>
        <w:pStyle w:val="ListParagraph"/>
        <w:numPr>
          <w:ilvl w:val="0"/>
          <w:numId w:val="2"/>
        </w:numPr>
        <w:spacing w:after="60" w:line="290"/>
      </w:pPr>
      <w:r>
        <w:rPr>
          <w:rFonts w:ascii="Arial" w:cs="Arial" w:eastAsia="Arial" w:hAnsi="Arial"/>
          <w:sz w:val="21"/>
          <w:szCs w:val="21"/>
        </w:rPr>
        <w:t xml:space="preserve">Hệ thống hiện chạy trên dữ liệu mô phỏng (mock) trong trình duyệt; các quy tắc dưới đây là hành vi đã cài đặt ở giao diện và sẽ ánh xạ 1:1 sang API backend.</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PAGE</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NUMPAGES</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2"/>
      </w:pBdr>
      <w:tabs>
        <w:tab w:val="right" w:pos="9638"/>
      </w:tabs>
    </w:pPr>
    <w:r>
      <w:rPr>
        <w:rFonts w:ascii="Arial" w:cs="Arial" w:eastAsia="Arial" w:hAnsi="Arial"/>
        <w:color w:val="7F7F7F"/>
        <w:sz w:val="17"/>
        <w:szCs w:val="17"/>
      </w:rPr>
      <w:t xml:space="preserve">Ninh Trang ERP — Tài liệu Atlas</w:t>
    </w:r>
    <w:r>
      <w:rPr>
        <w:rFonts w:ascii="Arial" w:cs="Arial" w:eastAsia="Arial" w:hAnsi="Arial"/>
        <w:color w:val="7F7F7F"/>
        <w:sz w:val="17"/>
        <w:szCs w:val="17"/>
      </w:rPr>
      <w:t xml:space="preserve">	ATL-02 · Tổng quan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ATL-02 — Tổng quan</dc:title>
  <dc:creator>Ninh Trang ERP</dc:creator>
  <cp:lastModifiedBy>Un-named</cp:lastModifiedBy>
  <cp:revision>1</cp:revision>
  <dcterms:created xsi:type="dcterms:W3CDTF">2026-10-22T00:22:04.285Z</dcterms:created>
  <dcterms:modified xsi:type="dcterms:W3CDTF">2026-10-22T00:22:04.285Z</dcterms:modified>
</cp:coreProperties>
</file>

<file path=docProps/custom.xml><?xml version="1.0" encoding="utf-8"?>
<Properties xmlns="http://schemas.openxmlformats.org/officeDocument/2006/custom-properties" xmlns:vt="http://schemas.openxmlformats.org/officeDocument/2006/docPropsVTypes"/>
</file>