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Báo cáo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ATL-03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cáo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/bao-cao  ·  /bao-cao?name=&lt;slug&gt;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— 22/10/2026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Trung tâm báo cáo gồm 21 báo cáo chia 8 nhóm. /bao-cao là trang tổng hợp: ô tìm báo cáo và thẻ từng báo cáo theo nhóm, mỗi thẻ có mô tả ngắn. Mở một báo cáo thì hiện khung chung: đường dẫn "Báo cáo › Nhóm", danh sách báo cáo bên trái, và phần phải là bộ lọc, KPI, biểu đồ, bảng, ghi chú định nghĩa. 15 báo cáo đã chạy; 6 báo cáo hiện nhãn "Sắp có".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CEO / Quản lý: toàn bộ.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Kế toán: báo cáo tài chính, công nợ, thu chi.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report.view.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các mã quyền là danh mục đã định nghĩa (xem ATL-23); giao diện hiện chưa kiểm tra quyền — mọi tài khoản đăng nhập đều xem và dùng được mọi chức năng.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Mở trang Báo cáo, tìm hoặc chọn thẻ báo cáo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cách nhóm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kỳ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Xem KPI, biểu đồ, bảng</w:t>
            </w:r>
          </w:p>
        </w:tc>
      </w:tr>
    </w:tbl>
    <w:p>
      <w:pPr>
        <w:spacing w:after="40" w:before="40" w:line="300"/>
        <w:jc w:val="center"/>
      </w:pPr>
      <w:r>
        <w:rPr>
          <w:rFonts w:ascii="Arial" w:cs="Arial" w:eastAsia="Arial" w:hAnsi="Arial"/>
          <w:color w:val="7F7F7F"/>
          <w:sz w:val="17"/>
          <w:szCs w:val="17"/>
        </w:rPr>
        <w:t xml:space="preserve">↓ tiếp theo</w:t>
      </w:r>
    </w:p>
    <w:tbl>
      <w:tblPr>
        <w:tblW w:type="dxa" w:w="46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Sắp xếp / tìm trong bảng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Xuất Excel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Báo cáo từ menu trái (hoặc từ Tổng quan bấm vào ô tương ứng).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Menu → trang tổng hợp. Ô Rò rỉ tiền ở Tổng quan → mở thẳng đúng báo cáo (?name=); Khách ngừng mua mở sẵn kỳ 60 ngày qua để khớp con số trên Tổng quan. Tên báo cáo không hợp lệ thì về trang tổng hợp.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Gõ vào ô "Tìm báo cáo…" hoặc bấm một thẻ.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Tìm không phân biệt dấu trên tên và mô tả; thẻ "Sắp có" mở trang giới thiệu, chưa có số liệu.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cách nhóm (ví dụ Theo khách hàng / mặt hàng / nhân viên / nhóm hàng / đơn hàng, tuỳ báo cáo).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và biểu đồ gộp lại theo cách nhóm.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kỳ, hoặc nhập khoảng ngày. Mặc định "Tháng này", ngày cuối không vượt quá hôm nay.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Tính lại KPI; báo cáo Doanh thu còn so với kỳ trước cùng độ dài. Báo cáo hiện trạng (Tồn kho, Dưới tồn tối thiểu) không có ô kỳ — tính tại thời điểm xem.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tiêu đề cột để sắp xếp (giảm dần → tăng dần → bỏ sắp xếp); gõ vào ô tìm để lọc dòng; bấm tên khách / hàng / đơn để mở trang chi tiết.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TỔNG CỘNG cộng lại đúng theo các dòng đang hiện khi có tìm kiếm.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"Hiện thêm 100 dòng" khi danh sách dài.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hiện 100 dòng mỗi lần; phần đếm "x / y dòng" ở chân bảng.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Xuất Excel.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Tải file theo đúng bảng đang xem (kể cả tìm kiếm và dòng tổng); số được định dạng số, không phải chữ. Doanh thu xuất thêm sheet Sổ chi tiết bán hàng.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Trang tổng hợp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Ô tìm báo cáo; 8 nhóm, mỗi nhóm có biểu tượng, mô tả nhóm và các thẻ báo cáo (tên + một câu mô tả). Thẻ chưa làm viền đứt và nhãn "Sắp có". Tìm không ra: "Không tìm thấy báo cáo" + nút Xoá tìm kiếm.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báo cáo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Đường dẫn Báo cáo › Nhóm; tên báo cáo; danh sách 21 báo cáo bên trái kèm "‹ Tất cả báo cáo". Dưới 900 px danh sách đổi thành ô chọn báo cáo.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Bộ lọc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Cách nhóm, Chọn kỳ + hai ô ngày, ô tìm trong báo cáo; nút Xuất Excel ở đầu.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Dải KPI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3–4 ô số liệu tổng (màu xanh/đỏ theo tốt/xấu), có dòng phụ giải thích; dưới 480 px xếp một cột.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Biểu đồ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 10 dạng thanh ngang của cột chính (lãi âm / lỗ hiện thanh đỏ). Doanh thu theo thời gian: cột theo ngày/tuần/tháng.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Tiêu đề cố định, sắp xếp được; số căn phải, không xuống dòng; cột tiền âm màu đỏ, dương màu xanh khi cột là lãi/chênh lệch; dòng TỔNG CỘNG ở chân; cuộn ngang trong khung trên điện thoại.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Ghi chú định nghĩa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Chân trang nêu định nghĩa số liệu, giả định và giới hạn của báo cáo đó.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cáo liên kết (Số dư công nợ, Tuổi nợ)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lặp lại bảng: hiện mô tả và nút dẫn tới trang Công nợ phải thu / phải trả hoặc Tuổi nợ đã có.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Doanh thu = số khách thực nhận</w:t>
      </w:r>
      <w:r>
        <w:rPr>
          <w:rFonts w:ascii="Arial" w:cs="Arial" w:eastAsia="Arial" w:hAnsi="Arial"/>
          <w:sz w:val="21"/>
          <w:szCs w:val="21"/>
        </w:rPr>
        <w:t xml:space="preserve">, đúng bằng số đã vào công nợ phải thu, ghi vào ngày giao. Đơn huỷ và đơn chưa giao không tính.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Chiết khấu của đơn phân bổ về từng dòng theo tỷ lệ giá trị. Doanh thu thuần = tiền hàng − chiết khấu; tổng thanh toán = doanh thu thuần + thuế GTGT.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Các báo cáo cùng nguồn phải khớp nhau: Doanh thu, Chiết khấu và Lãi gộp toàn bộ lịch sử cùng dựa trên các dòng doanh thu của đơn đã giao; Sổ quỹ khớp Thu chi.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Kỳ mặc định là Tháng này; ngày cuối luôn không vượt quá hôm nay; "Toàn bộ" = từ đầu đến hôm nay.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Giá vốn trong Lãi gộp và Hàng bán dưới giá vốn là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ước tính</w:t>
      </w:r>
      <w:r>
        <w:rPr>
          <w:rFonts w:ascii="Arial" w:cs="Arial" w:eastAsia="Arial" w:hAnsi="Arial"/>
          <w:sz w:val="21"/>
          <w:szCs w:val="21"/>
        </w:rPr>
        <w:t xml:space="preserve"> theo giá vốn hiện tại — chưa phải giá vốn chốt tại ngày giao.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Khi tìm kiếm trong bảng, dòng TỔNG CỘNG tính lại theo các dòng đang hiện; Xuất Excel xuất đúng các dòng đang hiện.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Đơn vị thời gian của Doanh thu tự động: tới 31 ngày theo ngày; tới 120 ngày theo tuần (tuần bắt đầu thứ Hai); dài hơn theo tháng. Kỳ so sánh bị ẩn khi chọn "Toàn bộ".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Địa chỉ báo cáo dùng slug của hệ thống tham chiếu (?name=slug), không dùng tên hiển thị.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hàng bán (ATL-12)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chi tiết dẫn tới từng đơn; nguồn số liệu là số thực nhận.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Tổng quan (ATL-02)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Rò rỉ tiền mở thẳng báo cáo liên quan.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nợ (ATL-10, ATL-15, ATL-19)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dư công nợ và Tuổi nợ dẫn sang các trang Công nợ phải trả / phải thu / Tuổi nợ.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Kỳ không có số liệu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Hiện "Không có số liệu" kèm gợi ý riêng của báo cáo (ví dụ "Chưa có hàng giao trong kỳ này").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báo cáo "Sắp có"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Hiện trang giới thiệu báo cáo, số báo cáo đã có và nút Xem các báo cáo đã có.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Tìm báo cáo không ra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Trang tổng hợp hiện "Không tìm thấy báo cáo" và nút Xoá tìm kiếm.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Tìm trong bảng không ra dòng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"Không có dòng nào khớp…" trong bảng.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báo cáo trên địa chỉ không đúng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Về trang tổng hợp.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Danh mục 21 báo cáo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2"/>
        <w:gridCol w:w="3401"/>
        <w:gridCol w:w="2456"/>
        <w:gridCol w:w="2459"/>
      </w:tblGrid>
      <w:tr>
        <w:trPr>
          <w:cantSplit/>
          <w:tblHeader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Nhóm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Báo cáo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 (?name=)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trạng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Bán hàng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Doanh thu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ban-hang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Bán hàng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Chiết khấu đã cấp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chiet-khau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Bán hàng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ngừng mua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khach-ngung-mua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Lợi nhuận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Lãi gộp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loi-nhuan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 (giá vốn ước tính)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Lợi nhuận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bán dưới giá vốn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ban-duoi-gia-von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Nhập xuất tồn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nhap-xuat-ton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không phát sinh lâu ngày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hang-nam-im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Sắp có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kho hiện tại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ton-kho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dưới tồn tối thiểu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duoi-ton-toi-thieu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Thẻ kho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the-kho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Sắp có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Vòng quay tồn kho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vong-quay-ton-kho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Sắp có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Mua hàng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Nhập hàng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mua-hang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Mua hàng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Giá mua biến động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gia-mua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Sắp có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Sản xuất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Sản xuất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san-xuat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Giao hàng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Giao hàng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giao-hang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Sắp có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Giao hàng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phí xe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chi-phi-xe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Giao hàng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Hiệu quả theo tài xế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tai-xe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Sắp có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nợ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dư công nợ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cong-no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Liên kết tới Công nợ phải thu / phải trả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nợ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Tuổi nợ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tuoi-no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Liên kết tới Tuổi nợ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tiền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Sổ quỹ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so-quy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Dòng tiền</w:t>
            </w:r>
          </w:p>
        </w:tc>
        <w:tc>
          <w:tcPr>
            <w:tcW w:type="dxa" w:w="34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 chi</w:t>
            </w:r>
          </w:p>
        </w:tc>
        <w:tc>
          <w:tcPr>
            <w:tcW w:type="dxa" w:w="24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thu-chi</w:t>
            </w:r>
          </w:p>
        </w:tc>
        <w:tc>
          <w:tcPr>
            <w:tcW w:type="dxa" w:w="24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Chạy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Định nghĩa các báo cáo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Doanh thu:</w:t>
      </w:r>
      <w:r>
        <w:rPr>
          <w:rFonts w:ascii="Arial" w:cs="Arial" w:eastAsia="Arial" w:hAnsi="Arial"/>
          <w:sz w:val="21"/>
          <w:szCs w:val="21"/>
        </w:rPr>
        <w:t xml:space="preserve"> số khách thực nhận, ghi vào ngày giao; so với kỳ trước cùng độ dài.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Chiết khấu đã cấp:</w:t>
      </w:r>
      <w:r>
        <w:rPr>
          <w:rFonts w:ascii="Arial" w:cs="Arial" w:eastAsia="Arial" w:hAnsi="Arial"/>
          <w:sz w:val="21"/>
          <w:szCs w:val="21"/>
        </w:rPr>
        <w:t xml:space="preserve"> chiết khấu dòng + chiết khấu đơn đã phân bổ về từng dòng; nhóm theo khách, mặt hàng, nhân viên hoặc đơn; kèm tỷ lệ trên tiền hàng.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Khách ngừng mua:</w:t>
      </w:r>
      <w:r>
        <w:rPr>
          <w:rFonts w:ascii="Arial" w:cs="Arial" w:eastAsia="Arial" w:hAnsi="Arial"/>
          <w:sz w:val="21"/>
          <w:szCs w:val="21"/>
        </w:rPr>
        <w:t xml:space="preserve"> khách từng nhận hàng trước ngày bắt đầu kỳ nhưng trong kỳ không nhận hàng lần nào (đơn chưa giao không tính); khách đã ngừng theo dõi không hiện; xếp theo doanh thu cũ giảm dần; "số ngày chưa mua" tính tới cuối kỳ.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Lãi gộp:</w:t>
      </w:r>
      <w:r>
        <w:rPr>
          <w:rFonts w:ascii="Arial" w:cs="Arial" w:eastAsia="Arial" w:hAnsi="Arial"/>
          <w:sz w:val="21"/>
          <w:szCs w:val="21"/>
        </w:rPr>
        <w:t xml:space="preserve"> doanh thu thuần trừ giá vốn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ước tính</w:t>
      </w:r>
      <w:r>
        <w:rPr>
          <w:rFonts w:ascii="Arial" w:cs="Arial" w:eastAsia="Arial" w:hAnsi="Arial"/>
          <w:sz w:val="21"/>
          <w:szCs w:val="21"/>
        </w:rPr>
        <w:t xml:space="preserve"> (giá vốn hiện tại của mặt hàng × số lượng thực nhận); cột cuối đếm dòng có giá vốn 0 — các dòng đó làm lãi gộp bị thổi lên. Nhóm theo mặt hàng, khách hàng hoặc nhóm hàng.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Hàng bán dưới giá vốn:</w:t>
      </w:r>
      <w:r>
        <w:rPr>
          <w:rFonts w:ascii="Arial" w:cs="Arial" w:eastAsia="Arial" w:hAnsi="Arial"/>
          <w:sz w:val="21"/>
          <w:szCs w:val="21"/>
        </w:rPr>
        <w:t xml:space="preserve"> doanh thu đã trừ chiết khấu phân bổ về dòng so với giá vốn ước tính; xếp theo mức lỗ giảm dần.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Nhập xuất tồn:</w:t>
      </w:r>
      <w:r>
        <w:rPr>
          <w:rFonts w:ascii="Arial" w:cs="Arial" w:eastAsia="Arial" w:hAnsi="Arial"/>
          <w:sz w:val="21"/>
          <w:szCs w:val="21"/>
        </w:rPr>
        <w:t xml:space="preserve"> tồn đầu, nhập, xuất, tồn cuối theo ĐVT chính; tồn đầu và cuối suy ra từ tồn hiện tại và các chứng từ phát sinh sau; chuyển kho không làm đổi tổng; kiểm kê cộng phần chênh.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Tồn kho hiện tại / Dưới tồn tối thiểu:</w:t>
      </w:r>
      <w:r>
        <w:rPr>
          <w:rFonts w:ascii="Arial" w:cs="Arial" w:eastAsia="Arial" w:hAnsi="Arial"/>
          <w:sz w:val="21"/>
          <w:szCs w:val="21"/>
        </w:rPr>
        <w:t xml:space="preserve"> báo cáo hiện trạng, không có ô ngày; nhóm theo mặt hàng hoặc kho; hàng đã lên xe còn nằm ở Đang đi đường vẫn tính vào giá trị tồn.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Nhập hàng:</w:t>
      </w:r>
      <w:r>
        <w:rPr>
          <w:rFonts w:ascii="Arial" w:cs="Arial" w:eastAsia="Arial" w:hAnsi="Arial"/>
          <w:sz w:val="21"/>
          <w:szCs w:val="21"/>
        </w:rPr>
        <w:t xml:space="preserve"> tính trên phiếu nhập kho lập từ đơn nhập, đúng thời điểm hàng về; giá trị = số lượng × đơn giá trên phiếu (chưa thuế GTGT), phiếu chưa ghi giá lấy giá của đơn nhập; phiếu huỷ không tính.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Sản xuất:</w:t>
      </w:r>
      <w:r>
        <w:rPr>
          <w:rFonts w:ascii="Arial" w:cs="Arial" w:eastAsia="Arial" w:hAnsi="Arial"/>
          <w:sz w:val="21"/>
          <w:szCs w:val="21"/>
        </w:rPr>
        <w:t xml:space="preserve"> chỉ lệnh đã Hoàn tất, theo ngày hoàn tất; giá thành chia cho số thực nhập kho nên hàng hỏng làm tăng giá thành đơn vị.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Chi phí xe:</w:t>
      </w:r>
      <w:r>
        <w:rPr>
          <w:rFonts w:ascii="Arial" w:cs="Arial" w:eastAsia="Arial" w:hAnsi="Arial"/>
          <w:sz w:val="21"/>
          <w:szCs w:val="21"/>
        </w:rPr>
        <w:t xml:space="preserve"> theo chi phí ghi trên chuyến giao (không phải sổ quỹ), bỏ chuyến huỷ; nhóm theo xe hoặc tài xế.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Số dư công nợ / Tuổi nợ:</w:t>
      </w:r>
      <w:r>
        <w:rPr>
          <w:rFonts w:ascii="Arial" w:cs="Arial" w:eastAsia="Arial" w:hAnsi="Arial"/>
          <w:sz w:val="21"/>
          <w:szCs w:val="21"/>
        </w:rPr>
        <w:t xml:space="preserve"> toàn bộ lịch sử, không phụ thuộc kỳ; đối tác đã tất toán không hiện (xem trang Công nợ).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Sổ quỹ:</w:t>
      </w:r>
      <w:r>
        <w:rPr>
          <w:rFonts w:ascii="Arial" w:cs="Arial" w:eastAsia="Arial" w:hAnsi="Arial"/>
          <w:sz w:val="21"/>
          <w:szCs w:val="21"/>
        </w:rPr>
        <w:t xml:space="preserve"> từng tài khoản tiền: tồn đầu kỳ, thu, chi, tồn cuối kỳ;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Thu chi:</w:t>
      </w:r>
      <w:r>
        <w:rPr>
          <w:rFonts w:ascii="Arial" w:cs="Arial" w:eastAsia="Arial" w:hAnsi="Arial"/>
          <w:sz w:val="21"/>
          <w:szCs w:val="21"/>
        </w:rPr>
        <w:t xml:space="preserve"> thu, chi, ròng (thu − chi) theo nhóm thu chi, tài khoản hoặc đối tác; phiếu huỷ không tính.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Còn chưa làm (nhãn "Sắp có"):</w:t>
      </w:r>
      <w:r>
        <w:rPr>
          <w:rFonts w:ascii="Arial" w:cs="Arial" w:eastAsia="Arial" w:hAnsi="Arial"/>
          <w:sz w:val="21"/>
          <w:szCs w:val="21"/>
        </w:rPr>
        <w:t xml:space="preserve"> Hàng không phát sinh lâu ngày, Thẻ kho, Vòng quay tồn kho, Giá mua biến động, Giao hàng, Hiệu quả theo tài xế.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Cấu trúc code: mỗi báo cáo là một khai báo (tên, nhóm, mô tả, cách nhóm, hàm tính) trong thư mục reports/defs; một khung dùng chung vẽ bộ lọc, KPI, biểu đồ, bảng, sắp xếp, tìm kiếm, phân trang và Xuất Excel. Thêm báo cáo mới chỉ cần thêm khai báo.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Quyền xem báo cáo (report.view) và quyền xem giá vốn (product.view_cost_price) hiện chưa được áp dụng trên giao diện: mọi người dùng đều thấy mọi báo cáo.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Hệ thống hiện chạy trên dữ liệu mô phỏng (mock) trong trình duyệt; các quy tắc dưới đây là hành vi đã cài đặt ở giao diện và sẽ ánh xạ 1:1 sang API backend.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ATL-03 · Báo cáo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ATL-03 — Báo cáo</dc:title>
  <dc:creator>Ninh Trang ERP</dc:creator>
  <cp:lastModifiedBy>Un-named</cp:lastModifiedBy>
  <cp:revision>1</cp:revision>
  <dcterms:created xsi:type="dcterms:W3CDTF">2026-10-22T00:22:04.315Z</dcterms:created>
  <dcterms:modified xsi:type="dcterms:W3CDTF">2026-10-22T00:22:04.315Z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