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Đơn nhập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/mua-hang, /mua-hang/them, /mua-hang/:id, /mua-hang/:id/sua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Lập và theo dõi đơn mua vật tư từ nhà cung cấp. Đơn không đụng tới tồn kho hay công nợ cho tới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hàng</w:t>
      </w:r>
      <w:r>
        <w:rPr>
          <w:rFonts w:ascii="Arial" w:cs="Arial" w:eastAsia="Arial" w:hAnsi="Arial"/>
          <w:sz w:val="21"/>
          <w:szCs w:val="21"/>
        </w:rPr>
        <w:t xml:space="preserve">; khi nhận hàng hệ thống sinh phiếu nhập kho và ghi công nợ phải trả.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Thu mua: lập, gửi NCC, hoàn tất, huỷ.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kho: nhận hàng.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xem công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purchase.* (xem, lập, sửa, gửi, nhận, hoàn tất, huỷ).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Nháp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Đã gửi NCC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Nhận một phần / Đã nhận đủ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Hoàn tất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đơn: chọn NCC, thêm dòng (hàng, ĐVT, số lượng, đơn giá, thuế 0/5/8/10%).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Nháp; còn sửa được. Thành tiền chưa gồm thuế; tổng thanh toán gồm thuế.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Gửi NCC.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Đã gửi NCC; không sửa nội dung nữa; hàng tính vào cột "Sắp về" ở Tồn kho.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hàng: nhập số thực nhận từng dòng và kho nhập.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nhập kho cho mỗi kho; tồn + theo ĐVT chính; cập nhật số đã nhận và giá trị đã nhận; công nợ phải trả = giá trị đã nhận (gồm thuế).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 phần còn lại (nếu nhận một phần).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tự tính lại: Nhận một phần → Đã nhận đủ.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 đơn.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Đóng đơn (cũng chốt ngắn được khi nhận một phần).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(khi Nháp hoặc Đã gửi NCC và chưa nhận hàng).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Đã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mã đơn, NCC hoặc hàng trong đơn; lọc Trạng thái, Nhà cung cấp, Người lập, Giá trị đơn, Kỳ; xuất Excel. Cột: Mã đơn, Ngày đặt, NCC, Mặt hàng, Giá trị đơn, Đã nhận (giá trị · %), Người lập, Trạng thái.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đơn nhập (màn hình chứng từ)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phiếu (NCC kèm mã số thuế, điện thoại, địa chỉ; Ngày đặt hàng; Người lập; Diễn giải), hai tab Hàng hoá và Phiếu (phiếu nhập kho liên quan), tổng kết, thanh nút theo trạng thái: Sửa, Gửi NCC, Nhận hàng, Hoàn tất, Huỷ đơn, In.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Nhận hàng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Đặt · Đã nhận · Còn lại · Nhận lần này · Kho nhập; nút "Nhận đủ tất cả"; ghi chú đợt nhận (ví dụ "Đợt 1, xe biển …"); "Xác nhận nhận hàng".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Nháp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mới.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Sửa; Gửi NCC; Huỷ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NCC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nhà cung cấp.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hàng; Huỷ (nếu chưa nhận)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một phần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một phần số lượng.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tiếp; Hoàn tất (chốt ngắn)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đủ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đủ mọi dòng.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đóng.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bị huỷ trước khi nhận hàng.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không đụng tới kho và công nợ</w:t>
      </w:r>
      <w:r>
        <w:rPr>
          <w:rFonts w:ascii="Arial" w:cs="Arial" w:eastAsia="Arial" w:hAnsi="Arial"/>
          <w:sz w:val="21"/>
          <w:szCs w:val="21"/>
        </w:rPr>
        <w:t xml:space="preserve">; chỉ Nhận hàng mới tạo phiếu nhập kho và công nợ phải trả.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đơn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Nháp</w:t>
      </w:r>
      <w:r>
        <w:rPr>
          <w:rFonts w:ascii="Arial" w:cs="Arial" w:eastAsia="Arial" w:hAnsi="Arial"/>
          <w:sz w:val="21"/>
          <w:szCs w:val="21"/>
        </w:rPr>
        <w:t xml:space="preserve"> sửa được; chỉ Nháp mới Gửi NCC.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Nhận hàng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gửi NCC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Hoàn tất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nhận đủ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 (chốt ngắn).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Huỷ</w:t>
      </w:r>
      <w:r>
        <w:rPr>
          <w:rFonts w:ascii="Arial" w:cs="Arial" w:eastAsia="Arial" w:hAnsi="Arial"/>
          <w:sz w:val="21"/>
          <w:szCs w:val="21"/>
        </w:rPr>
        <w:t xml:space="preserve"> chỉ khi Nháp hoặc Đã gửi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và</w:t>
      </w:r>
      <w:r>
        <w:rPr>
          <w:rFonts w:ascii="Arial" w:cs="Arial" w:eastAsia="Arial" w:hAnsi="Arial"/>
          <w:sz w:val="21"/>
          <w:szCs w:val="21"/>
        </w:rPr>
        <w:t xml:space="preserve"> giá trị đã nhận = 0 (hàng vào rồi thì không huỷ).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tiền dòng chưa gồm thuế; thuế dòng = thành tiền × thuế suất;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tổng thanh toán và giá trị đã nhận gồm thuế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lượng nhập theo ĐVT quy đổi được quy về ĐVT chính khi ghi tồn bằng tỷ lệ quy đổi của dòng.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Hạn thanh toán</w:t>
      </w:r>
      <w:r>
        <w:rPr>
          <w:rFonts w:ascii="Arial" w:cs="Arial" w:eastAsia="Arial" w:hAnsi="Arial"/>
          <w:sz w:val="21"/>
          <w:szCs w:val="21"/>
        </w:rPr>
        <w:t xml:space="preserve"> = ngày nhập kho + số ngày được nợ của NCC; công nợ phải trả tính theo hàng ĐÃ NHẬN.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Trạng thái sau mỗi lần nhận tự suy ra từ số đã nhận so với số đặt (Nhận một phần / Đã nhận đủ).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Báo cáo Nhập hàng tính trên phiếu nhập kho có NCC, đúng thời điểm hàng về, không tính lúc đặt đơn.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DN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đơn.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supplierId, orderDate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NCC và ngày đặt.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productId, unit/unitName, ratioToBase, quantity, unitPrice, vatRate, receivedQuantity.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totalValue, receivedValue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thanh toán và giá trị đã nhận (= công nợ phải trả), đều gồm thuế.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NHAP, DA_GUI_NCC, NHAN_MOT_PHAN, DA_NHAN_DU, HOAN_TAT, HUY.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/ gửi đơn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đổi tồn và công nợ; hàng hiện ở cột "Sắp về".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+; công nợ phải trả + (giá trị hàng nhận, gồm thuế); phiếu nhập kho theo từng kho.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tác động (chỉ khi chưa nhận hàng).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 (ATL-08)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NCC, lấy giá từ danh mục NCC.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nhập sinh khi nhận hàng.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trả (ATL-10)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Khoản phát sinh liên kết về đơn.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quá số đặt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Giới hạn theo số còn lại của dòng.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đã nhận hàng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cho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nhập hàng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Khối thông tin: nhà cung cấp (kèm mã), mã số thuế, điện thoại, địa chỉ, trạng thái, ghi chú; bảng: STT, mã hàng, tên hàng, ĐVT, số lượng, đơn giá, thành tiền, thuế, tiền thuế; tổng tiền hàng, thuế GTGT, tổng thanh toán và "Bằng chữ"; ký: Người lập đơn, Thủ kho, Nhà cung cấp, Giám đốc.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Chưa có luồng thanh toán trên đơn: tiền trả NCC đi qua Phiếu chi và đối trừ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ATL-09 · Đơn nhập hàng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ATL-09 — Đơn nhập hàng</dc:title>
  <dc:creator>Ninh Trang ERP</dc:creator>
  <cp:lastModifiedBy>Un-named</cp:lastModifiedBy>
  <cp:revision>1</cp:revision>
  <dcterms:created xsi:type="dcterms:W3CDTF">2026-10-22T00:22:04.556Z</dcterms:created>
  <dcterms:modified xsi:type="dcterms:W3CDTF">2026-10-22T00:22:04.556Z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