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Đơn hàng bán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ATL-12</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/don-hang, /don-hang/them-moi, /don-hang/:id, /don-hang/:id/sua</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 — 22/10/2026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Chứng từ trung tâm của bán hàng, giao diện kiểu chứng từ MISA: chọn khách, thêm dòng hàng với đơn giá theo loại khách, chiết khấu theo dòng và cả đơn, thuế GTGT theo dòng. Từ đơn có thể Lập lệnh sản xuất, Giao hàng, hoặc xếp lên Chuyến giao hàng.</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Sale: lập, sửa, huỷ đơn.</w:t>
      </w:r>
    </w:p>
    <w:p>
      <w:pPr>
        <w:pStyle w:val="ListParagraph"/>
        <w:numPr>
          <w:ilvl w:val="0"/>
          <w:numId w:val="2"/>
        </w:numPr>
        <w:spacing w:after="60" w:line="290"/>
      </w:pPr>
      <w:r>
        <w:rPr>
          <w:rFonts w:ascii="Arial" w:cs="Arial" w:eastAsia="Arial" w:hAnsi="Arial"/>
          <w:sz w:val="21"/>
          <w:szCs w:val="21"/>
        </w:rPr>
        <w:t xml:space="preserve">Quản lý: duyệt, lập lệnh sản xuất.</w:t>
      </w:r>
    </w:p>
    <w:p>
      <w:pPr>
        <w:pStyle w:val="ListParagraph"/>
        <w:numPr>
          <w:ilvl w:val="0"/>
          <w:numId w:val="2"/>
        </w:numPr>
        <w:spacing w:after="60" w:line="290"/>
      </w:pPr>
      <w:r>
        <w:rPr>
          <w:rFonts w:ascii="Arial" w:cs="Arial" w:eastAsia="Arial" w:hAnsi="Arial"/>
          <w:sz w:val="21"/>
          <w:szCs w:val="21"/>
        </w:rPr>
        <w:t xml:space="preserve">Nhân viên giao hàng: xem đơn được giao.</w:t>
      </w:r>
    </w:p>
    <w:p>
      <w:pPr>
        <w:pStyle w:val="ListParagraph"/>
        <w:numPr>
          <w:ilvl w:val="0"/>
          <w:numId w:val="2"/>
        </w:numPr>
        <w:spacing w:after="60" w:line="290"/>
      </w:pPr>
      <w:r>
        <w:rPr>
          <w:rFonts w:ascii="Arial" w:cs="Arial" w:eastAsia="Arial" w:hAnsi="Arial"/>
          <w:sz w:val="21"/>
          <w:szCs w:val="21"/>
        </w:rPr>
        <w:t xml:space="preserve">Kế toán: xem công nợ phát sinh.</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order.* (xem, lập, sửa, huỷ, giao, kết thúc).</w:t>
      </w:r>
    </w:p>
    <w:p>
      <w:pPr>
        <w:spacing w:after="100" w:before="0" w:line="300"/>
      </w:pPr>
      <w:r>
        <w:rPr>
          <w:rFonts w:ascii="Arial" w:cs="Arial" w:eastAsia="Arial" w:hAnsi="Arial"/>
          <w:i/>
          <w:iCs/>
          <w:sz w:val="19"/>
          <w:szCs w:val="19"/>
        </w:rPr>
        <w:t xml:space="preserve">Lưu ý: các mã quyền là danh mục đã định nghĩa (xem ATL-23); giao diện hiện chưa kiểm tra quyền — mọi tài khoản đăng nhập đều xem và dùng được mọi chức năng.</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đơn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lệnh sản xuất (thành phẩm)</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Chờ giao hàng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Giao hàng (trực tiếp hoặc theo chuyến)</w:t>
            </w:r>
          </w:p>
        </w:tc>
      </w:tr>
    </w:tbl>
    <w:p>
      <w:pPr>
        <w:spacing w:after="40" w:before="40" w:line="300"/>
        <w:jc w:val="center"/>
      </w:pPr>
      <w:r>
        <w:rPr>
          <w:rFonts w:ascii="Arial" w:cs="Arial" w:eastAsia="Arial" w:hAnsi="Arial"/>
          <w:color w:val="7F7F7F"/>
          <w:sz w:val="17"/>
          <w:szCs w:val="17"/>
        </w:rPr>
        <w:t xml:space="preserve">↓ tiếp theo</w:t>
      </w:r>
    </w:p>
    <w:tbl>
      <w:tblPr>
        <w:tblW w:type="dxa" w:w="2100"/>
        <w:tblBorders>
          <w:top w:val="single" w:color="auto" w:sz="4"/>
          <w:left w:val="single" w:color="auto" w:sz="4"/>
          <w:bottom w:val="single" w:color="auto" w:sz="4"/>
          <w:right w:val="single" w:color="auto" w:sz="4"/>
          <w:insideH w:val="single" w:color="auto" w:sz="4"/>
          <w:insideV w:val="single" w:color="auto" w:sz="4"/>
        </w:tblBorders>
      </w:tblPr>
      <w:tblGrid>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Hoàn thành / Giao một phần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Thêm mới: chọn khách (điện thoại, địa chỉ giao điền sẵn), người nhận, nguồn đơn (Zalo, Facebook, khách quen…), ngày đặt, ngày cần giao, nhân viên bán, thẻ đánh dấu, diễn giải.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nháp trên form; chưa có số đơn. Hạn thanh toán và Bảng giá áp dụng hiện theo loại khách.</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Thêm dòng hàng: hàng, ĐVT (chính hoặc quy đổi), số lượng, đơn giá, % chiết khấu dòng, thuế GTGT, kho xuất.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giá lấy theo loại khách và ĐVT; thành tiền = SL × đơn giá; hàng thành phẩm có kích thước cắt.</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chiết khấu cả đơn (số tiền).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Chia về từng dòng theo tỷ lệ giá trị sau chiết khấu dòng; thuế tính trên phần còn lại.</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đơn.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Cấp số DH…; trạng thái tự suy ra: Chờ sản xuất nếu có thành phẩm chưa có lệnh, ngược lại Chờ giao hàng.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 / 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Với dòng thành phẩm bấm Lập lệnh sản xuất.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Sinh lệnh Nháp; trạng thái đơn đổi theo tiến độ lệnh (xem ATL-07).</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6</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 trực tiếp trên đơn, hoặc xếp đơn lên Chuyến giao hàng.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trực tiếp: nhập số khách thực nhận (toàn bộ hoặc một phần) → phiếu xuất kho, công nợ phải thu. Theo chuyến: xem ATL-13.</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7</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Kết thúc đơn khi khách không lấy phần còn lại.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giữ trạng thái Giao một phần, không giao thêm.</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8</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đơn (chưa giao và không Đang giao), nhập lý do.</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Đã huỷ; lệnh sản xuất Nháp / Đang sản xuất của đơn cũng huỷ.</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9</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"Thu tiền ngay" ở thanh Thu tiền (đầu chứng từ) và tài khoản nhận tiền.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nhớ lựa chọn. Mặc định là "Chưa thu tiền". Chỉ đổi được khi đơn còn sửa được.</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tab Giá vốn.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từng dòng: giá vốn ước tính, doanh thu thuần, lãi gộp và tỷ suất; dòng chưa có giá vốn được đánh dấu.</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Dùng nút ‹ › ở thanh dưới.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sang đơn liền trước / liền sau theo số chứng từ; hiện vị trí "23/26".</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theo mã đơn, khách, người nhận, mặt hàng; lọc Trạng thái (kể cả ?status=PENDING|SHIPPING), Nhân viên bán, Người lập, Thẻ, Giá trị đơn, Kỳ, nút "Trễ hẹn giao" (?late=1); sắp xếp; xuất Excel. Cột: Mã đơn, Ngày đặt, Khách hàng, Mặt hàng, Giá trị đơn, Khách đã nhận, Cần giao, Trạng thái, Nhân viên bán, Thẻ.</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Màn hình chứng từ</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Đầu phiếu (khách, người nhận, điện thoại, địa chỉ giao, nguồn đơn, ngày đặt, ngày cần giao, nhân viên bán, số chứng từ, hạn thanh toán, bảng giá áp dụng, thẻ, diễn giải), lưới hàng có chiết khấu/thuế, ô "Chiết khấu cả đơn", tổng kết; bốn tab: Hàng hoá · Lệnh sản xuất · Phiếu xuất kho · Công nợ; thanh nút theo trạng thái: Sửa, In, Lập lệnh sản xuất, Giao hàng, Lập phiếu thu, Kết thúc đơn, Huỷ đơn.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Hộp thoại Giao hàng</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dòng: Đặt · Đã giao · Còn lại · Giao lần này · Kho xuất · Tồn tại kho; ngày giao, ghi chú (ví dụ "Giao đợt 1, khách ký nhận"); hiện giá trị phải thu và hạn thanh toán; "Xác nhận giao hàng".</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Thanh Thu tiền</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Trên đầu chứng từ: nút chọn Chưa thu tiền / Thu tiền ngay, kèm ô chọn tài khoản nhận tiền khi chọn Thu tiền ngay và một dòng giải thích. Đơn đã lưu chỉ hiện trạng thái (ví dụ "Thu tiền ngay · Quỹ tiền mặt").</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Tham chiếu</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cuối khối đầu phiếu: các chứng từ liên quan của đơn là chuyến giao hàng, phiếu xuất kho, lệnh sản xuất và phiếu thu; bấm để mở. Phiếu xuất kho và phiếu thu cũng có đường dẫn ngược về đơn.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Tab Giá vốn</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Bảng cùng dòng hàng với tab Hàng hoá: giá vốn / ĐVT, giá vốn thành tiền, doanh thu thuần, lãi gộp, tỷ suất; dòng Cộng; chú thích đây là giá vốn ước tính.</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chứng từ</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Hai nút ‹ › và vị trí đơn trong tổng số ở góc trái thanh hành động (chỉ khi xem đơn đã lưu).</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Loại khách · bảng giá</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Trường ghi rõ loại khách và bảng giá (ví dụ "Khách lẻ · giá lẻ"). Chip cạnh tên khách chỉ nói điều khoản thanh toán (Trả ngay / Được nợ N ngày). Thẻ đánh dấu (như "Khách quen") là nhãn riêng, không phải loại khách.</w:t>
            </w:r>
          </w:p>
        </w:tc>
      </w:tr>
    </w:tbl>
    <w:p>
      <w:pPr>
        <w:pStyle w:val="Heading1"/>
        <w:keepNext/>
        <w:spacing w:after="120" w:before="320"/>
      </w:pPr>
      <w:r>
        <w:rPr>
          <w:rFonts w:ascii="Arial" w:cs="Arial" w:eastAsia="Arial" w:hAnsi="Arial"/>
          <w:b/>
          <w:bCs/>
          <w:color w:val="1F3864"/>
          <w:sz w:val="28"/>
          <w:szCs w:val="28"/>
        </w:rPr>
        <w:t xml:space="preserve">4. Trạng thái &amp; chuyển trạng thái</w:t>
      </w:r>
    </w:p>
    <w:p>
      <w:pPr>
        <w:spacing w:after="100" w:before="0" w:line="300"/>
      </w:pPr>
      <w:r>
        <w:rPr>
          <w:rFonts w:ascii="Arial" w:cs="Arial" w:eastAsia="Arial" w:hAnsi="Arial"/>
          <w:sz w:val="21"/>
          <w:szCs w:val="21"/>
        </w:rPr>
        <w:t xml:space="preserve">Trạng thái tự suy ra từ những gì đã xảy ra: giao hàng trước, rồi sản xuất. Đang giao và Trả toàn bộ đến từ Chuyến giao hàng và được giữ cho tới khi có lần giao tiếp theo.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4015"/>
        <w:gridCol w:w="3616"/>
      </w:tblGrid>
      <w:tr>
        <w:trPr>
          <w:cantSplit/>
          <w:tblHeader/>
        </w:trPr>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40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36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Chờ sản xuất</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Có dòng thành phẩm chưa có lệnh hoặc lệnh chưa chạy.</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lệnh; Sửa; Huỷ</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sản xuất</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Có lệnh đang chạy, hoặc mới hoàn tất một phần số lệnh của đơn.</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Chờ giao hàng khi mọi lệnh hoàn tất; Huỷ</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Chờ giao hàng</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có thành phẩm cần sản xuất, hoặc mọi lệnh đã hoàn tất; chưa giao gì.</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 xếp chuyến; Sửa; Huỷ</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giao</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xuất kho trên chuyến, chờ chốt giao.</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Chốt giao ở chuyến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thành</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giao đủ.</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một phần</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Mới giao một phần.</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tiếp; Kết thúc đơn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Trả toàn bộ</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không nhận gì.</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huỷ</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bị huỷ.</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r>
    </w:tbl>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Thành tiền = SL × đơn giá</w:t>
      </w:r>
      <w:r>
        <w:rPr>
          <w:rFonts w:ascii="Arial" w:cs="Arial" w:eastAsia="Arial" w:hAnsi="Arial"/>
          <w:sz w:val="21"/>
          <w:szCs w:val="21"/>
        </w:rPr>
        <w:t xml:space="preserve">; trừ chiết khấu dòng (theo % hoặc tiền); chiết khấu cả đơn chia theo tỷ lệ giá trị từng dòng sau chiết khấu; </w:t>
      </w:r>
      <w:r>
        <w:rPr>
          <w:rFonts w:ascii="Arial" w:cs="Arial" w:eastAsia="Arial" w:hAnsi="Arial"/>
          <w:b/>
          <w:bCs/>
          <w:sz w:val="21"/>
          <w:szCs w:val="21"/>
        </w:rPr>
        <w:t xml:space="preserve">thuế GTGT tính trên phần còn lại của từng dòng</w:t>
      </w:r>
      <w:r>
        <w:rPr>
          <w:rFonts w:ascii="Arial" w:cs="Arial" w:eastAsia="Arial" w:hAnsi="Arial"/>
          <w:sz w:val="21"/>
          <w:szCs w:val="21"/>
        </w:rPr>
        <w:t xml:space="preserve">. Dòng cuối nhận phần dư làm tròn để tổng chia khớp.</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Đơn giá</w:t>
      </w:r>
      <w:r>
        <w:rPr>
          <w:rFonts w:ascii="Arial" w:cs="Arial" w:eastAsia="Arial" w:hAnsi="Arial"/>
          <w:sz w:val="21"/>
          <w:szCs w:val="21"/>
        </w:rPr>
        <w:t xml:space="preserve"> lấy theo loại khách (lẻ / sỉ / dropship) và ĐVT; đơn vị quy đổi có giá riêng thì dùng giá đó.</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Kho xuất mặc định:</w:t>
      </w:r>
      <w:r>
        <w:rPr>
          <w:rFonts w:ascii="Arial" w:cs="Arial" w:eastAsia="Arial" w:hAnsi="Arial"/>
          <w:sz w:val="21"/>
          <w:szCs w:val="21"/>
        </w:rPr>
        <w:t xml:space="preserve"> thành phẩm xuất từ Kho thành phẩm; dịch vụ không có kho và không xuất kho.</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Sửa đơn</w:t>
      </w:r>
      <w:r>
        <w:rPr>
          <w:rFonts w:ascii="Arial" w:cs="Arial" w:eastAsia="Arial" w:hAnsi="Arial"/>
          <w:sz w:val="21"/>
          <w:szCs w:val="21"/>
        </w:rPr>
        <w:t xml:space="preserve"> chỉ khi chưa sản xuất và chưa giao ("Đơn đã sản xuất hoặc đã giao, không sửa được"). Sửa đơn còn lệnh Nháp thì cập nhật lệnh theo dòng thành phẩm.</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Huỷ đơn</w:t>
      </w:r>
      <w:r>
        <w:rPr>
          <w:rFonts w:ascii="Arial" w:cs="Arial" w:eastAsia="Arial" w:hAnsi="Arial"/>
          <w:sz w:val="21"/>
          <w:szCs w:val="21"/>
        </w:rPr>
        <w:t xml:space="preserve"> chỉ khi chưa giao gì và đơn không Đang giao.</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Giao hàng:</w:t>
      </w:r>
      <w:r>
        <w:rPr>
          <w:rFonts w:ascii="Arial" w:cs="Arial" w:eastAsia="Arial" w:hAnsi="Arial"/>
          <w:sz w:val="21"/>
          <w:szCs w:val="21"/>
        </w:rPr>
        <w:t xml:space="preserve"> doanh thu và công nợ phải thu = giá trị khách THỰC NHẬN (đã phân bổ chiết khấu, gồm thuế), mỗi dòng theo tỷ lệ đã giao; </w:t>
      </w:r>
      <w:r>
        <w:rPr>
          <w:rFonts w:ascii="Arial" w:cs="Arial" w:eastAsia="Arial" w:hAnsi="Arial"/>
          <w:b/>
          <w:bCs/>
          <w:sz w:val="21"/>
          <w:szCs w:val="21"/>
        </w:rPr>
        <w:t xml:space="preserve">hạn thanh toán = ngày nhận + số ngày được nợ của khách</w:t>
      </w:r>
      <w:r>
        <w:rPr>
          <w:rFonts w:ascii="Arial" w:cs="Arial" w:eastAsia="Arial" w:hAnsi="Arial"/>
          <w:sz w:val="21"/>
          <w:szCs w:val="21"/>
        </w:rPr>
        <w:t xml:space="preserve">.</w:t>
      </w:r>
    </w:p>
    <w:p>
      <w:pPr>
        <w:pStyle w:val="ListParagraph"/>
        <w:numPr>
          <w:ilvl w:val="0"/>
          <w:numId w:val="3"/>
        </w:numPr>
        <w:spacing w:after="70" w:line="290"/>
      </w:pPr>
      <w:r>
        <w:rPr>
          <w:rFonts w:ascii="Arial" w:cs="Arial" w:eastAsia="Arial" w:hAnsi="Arial"/>
          <w:sz w:val="21"/>
          <w:szCs w:val="21"/>
        </w:rPr>
        <w:t xml:space="preserve">Mỗi lần giao sinh một phiếu xuất kho cho mỗi kho; tồn trừ theo ĐVT chính.</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Kết thúc đơn</w:t>
      </w:r>
      <w:r>
        <w:rPr>
          <w:rFonts w:ascii="Arial" w:cs="Arial" w:eastAsia="Arial" w:hAnsi="Arial"/>
          <w:sz w:val="21"/>
          <w:szCs w:val="21"/>
        </w:rPr>
        <w:t xml:space="preserve"> chỉ khi đơn Giao một phần và chưa kết thúc.</w:t>
      </w:r>
    </w:p>
    <w:p>
      <w:pPr>
        <w:pStyle w:val="ListParagraph"/>
        <w:numPr>
          <w:ilvl w:val="0"/>
          <w:numId w:val="3"/>
        </w:numPr>
        <w:spacing w:after="70" w:line="290"/>
      </w:pPr>
      <w:r>
        <w:rPr>
          <w:rFonts w:ascii="Arial" w:cs="Arial" w:eastAsia="Arial" w:hAnsi="Arial"/>
          <w:sz w:val="21"/>
          <w:szCs w:val="21"/>
        </w:rPr>
        <w:t xml:space="preserve">Đơn Đã huỷ, và đơn chưa giao, không tính doanh thu.</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Thu tiền ngay:</w:t>
      </w:r>
      <w:r>
        <w:rPr>
          <w:rFonts w:ascii="Arial" w:cs="Arial" w:eastAsia="Arial" w:hAnsi="Arial"/>
          <w:sz w:val="21"/>
          <w:szCs w:val="21"/>
        </w:rPr>
        <w:t xml:space="preserve"> mỗi lần khách nhận hàng (giao trực tiếp hoặc chốt giao trên chuyến), hệ thống tự lập một phiếu thu đúng phần vừa nhận vào tài khoản đã chọn, đối trừ thẳng vào đơn này; công nợ của đơn về 0. Bỏ chốt giao thì phiếu thu tự lập gần nhất được huỷ. Chọn Thu tiền ngay mà chưa chọn tài khoản thì không lưu được.</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Giá vốn trên chứng từ</w:t>
      </w:r>
      <w:r>
        <w:rPr>
          <w:rFonts w:ascii="Arial" w:cs="Arial" w:eastAsia="Arial" w:hAnsi="Arial"/>
          <w:sz w:val="21"/>
          <w:szCs w:val="21"/>
        </w:rPr>
        <w:t xml:space="preserve"> là ước tính (giá nhập gần nhất; thành phẩm = định mức × giá vật tư; dịch vụ không có giá vốn), tính theo số lượng đặt; chưa phải giá vốn chốt khi giao.</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Tham chiếu</w:t>
      </w:r>
      <w:r>
        <w:rPr>
          <w:rFonts w:ascii="Arial" w:cs="Arial" w:eastAsia="Arial" w:hAnsi="Arial"/>
          <w:sz w:val="21"/>
          <w:szCs w:val="21"/>
        </w:rPr>
        <w:t xml:space="preserve"> chỉ liệt kê chứng từ chưa huỷ. Phiếu thu được nhận ra khi đối trừ thẳng vào đơn (Thu tiền ngay hoặc chọn tay) hoặc diễn giải có ghi số đơn.</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007"/>
        <w:gridCol w:w="5222"/>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522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code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DH + 7 số</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đơn.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customerId, recipientName, recipientPhone, deliveryAddress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người nhận, địa chỉ giao.</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orderDate, neededByDate, source, tagIds, salesRep</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Ngày lập, ngày cần giao, nguồn, thẻ, người bán.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lines[]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productId, unit/unitName, ratioToBase, quantity, unitPrice, discountRate/Amount, vatRate, warehouseId, receivedQuantity, kích thước.</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discountAmount, totalGoods, vatAmount, totalOrder</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Chiết khấu cả đơn, tiền hàng, thuế, tổng thanh toán.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receivedValue, deliveredDate, dueDate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ngày</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Giá trị thực nhận (= công nợ phải thu), ngày giao, hạn thanh toán.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status, tripId, closedDate, cancelReason</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Trạng thái, chuyến đang chạy, ngày kết thúc, lý do huỷ.</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payNowAccountId</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tài khoản</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Tài khoản nhận tiền khi chọn "Thu tiền ngay"; trống = chưa thu tiền.</w:t>
            </w:r>
          </w:p>
        </w:tc>
      </w:tr>
    </w:tbl>
    <w:p>
      <w:pPr>
        <w:pStyle w:val="Heading1"/>
        <w:keepNext/>
        <w:spacing w:after="120" w:before="320"/>
      </w:pPr>
      <w:r>
        <w:rPr>
          <w:rFonts w:ascii="Arial" w:cs="Arial" w:eastAsia="Arial" w:hAnsi="Arial"/>
          <w:b/>
          <w:bCs/>
          <w:color w:val="1F3864"/>
          <w:sz w:val="28"/>
          <w:szCs w:val="28"/>
        </w:rPr>
        <w:t xml:space="preserve">7. Tác động tới kho, công nợ, tiền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cantSplit/>
          <w:tblHeader/>
        </w:trPr>
        <w:tc>
          <w:tcPr>
            <w:tcW w:type="dxa" w:w="3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Sự kiện</w:t>
            </w:r>
          </w:p>
        </w:tc>
        <w:tc>
          <w:tcPr>
            <w:tcW w:type="dxa" w:w="6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Tác động</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đơn</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Chưa đổi kho hay công nợ; hàng chiếm vào cột "Đã đặt" ở Tồn kho.</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 trực tiếp</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kho; công nợ phải thu + theo số thực nhận.</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chuyến / chốt giao</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kho khi xuất chuyến; công nợ + khi chốt giao.</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đơn</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lệnh sản xuất chưa xong của đơn (vật tư đã xuất không hoàn lại).</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 khi đã chọn Thu tiền ngay</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Ngoài phiếu xuất kho và công nợ: tự lập phiếu thu, tăng số dư tài khoản, trừ hết công nợ của lần giao.</w:t>
            </w:r>
          </w:p>
        </w:tc>
      </w:tr>
    </w:tbl>
    <w:p>
      <w:pPr>
        <w:pStyle w:val="Heading1"/>
        <w:keepNext/>
        <w:spacing w:after="120" w:before="320"/>
      </w:pPr>
      <w:r>
        <w:rPr>
          <w:rFonts w:ascii="Arial" w:cs="Arial" w:eastAsia="Arial" w:hAnsi="Arial"/>
          <w:b/>
          <w:bCs/>
          <w:color w:val="1F3864"/>
          <w:sz w:val="28"/>
          <w:szCs w:val="28"/>
        </w:rPr>
        <w:t xml:space="preserve">8.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hàng (ATL-11)</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Loại khách, địa chỉ, số ngày được nợ.</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Lệnh sản xuất (ATL-07)</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từ đơn; trạng thái đơn theo lệnh.</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giao hàng (ATL-13)</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Xếp đơn lên xe.</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thu (ATL-15)</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Khoản phát sinh dẫn về /don-hang/:id.</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 (ATL-06)</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khi giao.</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Thẻ đánh dấu (ATL-21), Báo cáo (ATL-03)</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Gắn thẻ; nguồn số liệu doanh thu.</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chi (ATL-16)</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tự lập khi Thu tiền ngay; dòng đối trừ trong phiếu bấm mở về đơn.</w:t>
            </w:r>
          </w:p>
        </w:tc>
      </w:tr>
    </w:tbl>
    <w:p>
      <w:pPr>
        <w:pStyle w:val="Heading1"/>
        <w:keepNext/>
        <w:spacing w:after="120" w:before="320"/>
      </w:pPr>
      <w:r>
        <w:rPr>
          <w:rFonts w:ascii="Arial" w:cs="Arial" w:eastAsia="Arial" w:hAnsi="Arial"/>
          <w:b/>
          <w:bCs/>
          <w:color w:val="1F3864"/>
          <w:sz w:val="28"/>
          <w:szCs w:val="28"/>
        </w:rPr>
        <w:t xml:space="preserve">9.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Sửa đơn đã sản xuất / đã giao</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không sửa được; gợi ý huỷ lập lại (nếu chưa giao).</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vượt số đặt</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Giới hạn theo số còn lại của dòng.</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Địa chỉ giao trống</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Có thể chọn từ danh sách địa chỉ của khách hoặc gõ tay.</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/don-hang/them</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Tự chuyển sang /don-hang/them-moi.</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tiền ngay mà tài khoản đã bị ngừng dùng</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tự lập phiếu thu; đơn vẫn giao và ghi công nợ bình thường.</w:t>
            </w:r>
          </w:p>
        </w:tc>
      </w:tr>
    </w:tbl>
    <w:p>
      <w:pPr>
        <w:pStyle w:val="Heading1"/>
        <w:keepNext/>
        <w:spacing w:after="120" w:before="320"/>
      </w:pPr>
      <w:r>
        <w:rPr>
          <w:rFonts w:ascii="Arial" w:cs="Arial" w:eastAsia="Arial" w:hAnsi="Arial"/>
          <w:b/>
          <w:bCs/>
          <w:color w:val="1F3864"/>
          <w:sz w:val="28"/>
          <w:szCs w:val="28"/>
        </w:rPr>
        <w:t xml:space="preserve">10. Bản in</w:t>
      </w:r>
    </w:p>
    <w:p>
      <w:pPr>
        <w:pStyle w:val="ListParagraph"/>
        <w:numPr>
          <w:ilvl w:val="0"/>
          <w:numId w:val="2"/>
        </w:numPr>
        <w:spacing w:after="60" w:line="290"/>
      </w:pPr>
      <w:r>
        <w:rPr>
          <w:rFonts w:ascii="Arial" w:cs="Arial" w:eastAsia="Arial" w:hAnsi="Arial"/>
          <w:sz w:val="21"/>
          <w:szCs w:val="21"/>
        </w:rPr>
        <w:t xml:space="preserve">Phiếu in: </w:t>
      </w:r>
      <w:r>
        <w:rPr>
          <w:rFonts w:ascii="Arial" w:cs="Arial" w:eastAsia="Arial" w:hAnsi="Arial"/>
          <w:b/>
          <w:bCs/>
          <w:sz w:val="21"/>
          <w:szCs w:val="21"/>
        </w:rPr>
        <w:t xml:space="preserve">Đơn hàng bán</w:t>
      </w:r>
      <w:r>
        <w:rPr>
          <w:rFonts w:ascii="Arial" w:cs="Arial" w:eastAsia="Arial" w:hAnsi="Arial"/>
          <w:sz w:val="21"/>
          <w:szCs w:val="21"/>
        </w:rPr>
        <w:t xml:space="preserve">, dựng bằng khuôn in chung (ATL-26): tiêu đề công ty (logo + tên + địa chỉ, mã số thuế, điện thoại, email, website có nhãn) và số phiếu, tiêu đề, khối thông tin, bảng, khối ký, chân trang "In lúc … · người in".</w:t>
      </w:r>
    </w:p>
    <w:p>
      <w:pPr>
        <w:pStyle w:val="ListParagraph"/>
        <w:numPr>
          <w:ilvl w:val="0"/>
          <w:numId w:val="2"/>
        </w:numPr>
        <w:spacing w:after="60" w:line="290"/>
      </w:pPr>
      <w:r>
        <w:rPr>
          <w:rFonts w:ascii="Arial" w:cs="Arial" w:eastAsia="Arial" w:hAnsi="Arial"/>
          <w:sz w:val="21"/>
          <w:szCs w:val="21"/>
        </w:rPr>
        <w:t xml:space="preserve">Khối thông tin: khách hàng, người nhận, điện thoại, địa chỉ giao, ngày cần giao, nguồn đơn, diễn giải; bảng: STT, mã hàng, tên hàng (kèm kích thước thành phẩm), ĐVT, số lượng, đơn giá, chiết khấu, thuế, thành tiền; tổng: tiền hàng, chiết khấu dòng, chiết khấu cả đơn, thuế GTGT, tổng thanh toán và "Bằng chữ"; ký: Người lập đơn, Nhân viên bán hàng, Thủ kho, Khách hàng.</w:t>
      </w:r>
    </w:p>
    <w:p>
      <w:pPr>
        <w:pStyle w:val="Heading1"/>
        <w:keepNext/>
        <w:spacing w:after="120" w:before="320"/>
      </w:pPr>
      <w:r>
        <w:rPr>
          <w:rFonts w:ascii="Arial" w:cs="Arial" w:eastAsia="Arial" w:hAnsi="Arial"/>
          <w:b/>
          <w:bCs/>
          <w:color w:val="1F3864"/>
          <w:sz w:val="28"/>
          <w:szCs w:val="28"/>
        </w:rPr>
        <w:t xml:space="preserve">11. Ghi chú &amp; giới hạn hiện tại</w:t>
      </w:r>
    </w:p>
    <w:p>
      <w:pPr>
        <w:pStyle w:val="ListParagraph"/>
        <w:numPr>
          <w:ilvl w:val="0"/>
          <w:numId w:val="2"/>
        </w:numPr>
        <w:spacing w:after="60" w:line="290"/>
      </w:pPr>
      <w:r>
        <w:rPr>
          <w:rFonts w:ascii="Arial" w:cs="Arial" w:eastAsia="Arial" w:hAnsi="Arial"/>
          <w:sz w:val="21"/>
          <w:szCs w:val="21"/>
        </w:rPr>
        <w:t xml:space="preserve">Trạng thái đơn không sửa tay: luôn suy ra từ giao hàng và sản xuất.</w:t>
      </w:r>
    </w:p>
    <w:p>
      <w:pPr>
        <w:pStyle w:val="ListParagraph"/>
        <w:numPr>
          <w:ilvl w:val="0"/>
          <w:numId w:val="2"/>
        </w:numPr>
        <w:spacing w:after="60" w:line="290"/>
      </w:pPr>
      <w:r>
        <w:rPr>
          <w:rFonts w:ascii="Arial" w:cs="Arial" w:eastAsia="Arial" w:hAnsi="Arial"/>
          <w:sz w:val="21"/>
          <w:szCs w:val="21"/>
        </w:rPr>
        <w:t xml:space="preserve">Chưa có cột tài khoản kế toán, hoá đơn điện tử và mã cơ quan thuế như MISA — hệ thống chưa có hệ thống tài khoản; cân nhắc khi cần nối kế toán.</w:t>
      </w:r>
    </w:p>
    <w:p>
      <w:pPr>
        <w:pStyle w:val="ListParagraph"/>
        <w:numPr>
          <w:ilvl w:val="0"/>
          <w:numId w:val="2"/>
        </w:numPr>
        <w:spacing w:after="60" w:line="290"/>
      </w:pPr>
      <w:r>
        <w:rPr>
          <w:rFonts w:ascii="Arial" w:cs="Arial" w:eastAsia="Arial" w:hAnsi="Arial"/>
          <w:sz w:val="21"/>
          <w:szCs w:val="21"/>
        </w:rPr>
        <w:t xml:space="preserve">Hệ thống hiện chạy trên dữ liệu mô phỏng (mock) trong trình duyệt; các quy tắc dưới đây là hành vi đã cài đặt ở giao diện và sẽ ánh xạ 1:1 sang API backend.</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ATL-12 · Đơn hàng bán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ATL-12 — Đơn hàng bán</dc:title>
  <dc:creator>Ninh Trang ERP</dc:creator>
  <cp:lastModifiedBy>Un-named</cp:lastModifiedBy>
  <cp:revision>1</cp:revision>
  <dcterms:created xsi:type="dcterms:W3CDTF">2026-10-22T00:22:04.666Z</dcterms:created>
  <dcterms:modified xsi:type="dcterms:W3CDTF">2026-10-22T00:22:04.666Z</dcterms:modified>
</cp:coreProperties>
</file>

<file path=docProps/custom.xml><?xml version="1.0" encoding="utf-8"?>
<Properties xmlns="http://schemas.openxmlformats.org/officeDocument/2006/custom-properties" xmlns:vt="http://schemas.openxmlformats.org/officeDocument/2006/docPropsVTypes"/>
</file>