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7F7F7F"/>
          <w:sz w:val="18"/>
          <w:szCs w:val="18"/>
        </w:rPr>
        <w:t xml:space="preserve">TÀI LIỆU ATLAS — CHỨC NĂNG</w:t>
      </w:r>
    </w:p>
    <w:p>
      <w:pPr>
        <w:spacing w:after="120"/>
      </w:pPr>
      <w:r>
        <w:rPr>
          <w:rFonts w:ascii="Arial" w:cs="Arial" w:eastAsia="Arial" w:hAnsi="Arial"/>
          <w:b/>
          <w:bCs/>
          <w:color w:val="1F3864"/>
          <w:sz w:val="40"/>
          <w:szCs w:val="40"/>
        </w:rPr>
        <w:t xml:space="preserve">Công nợ phải thu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Mã tài liệu</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ATL-15</w:t>
            </w:r>
          </w:p>
        </w:tc>
      </w:tr>
      <w:tr>
        <w:tc>
          <w:tcPr>
            <w:tcW w:type="dxa" w:w="2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Phân hệ</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Bán hàng</w:t>
            </w:r>
          </w:p>
        </w:tc>
      </w:tr>
      <w:tr>
        <w:tc>
          <w:tcPr>
            <w:tcW w:type="dxa" w:w="2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Đường dẫn</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/cong-no/khach-hang</w:t>
            </w:r>
          </w:p>
        </w:tc>
      </w:tr>
      <w:tr>
        <w:tc>
          <w:tcPr>
            <w:tcW w:type="dxa" w:w="2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Phiên bản</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1.0 — 22/10/2026</w:t>
            </w:r>
          </w:p>
        </w:tc>
      </w:tr>
      <w:tr>
        <w:tc>
          <w:tcPr>
            <w:tcW w:type="dxa" w:w="2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Hệ thống</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Ninh Trang ERP — quản lý bán hàng, kho, sản xuất, giao hàng, công nợ</w:t>
            </w:r>
          </w:p>
        </w:tc>
      </w:tr>
    </w:tbl>
    <w:p>
      <w:pPr>
        <w:spacing w:after="80"/>
      </w:pPr>
    </w:p>
    <w:p>
      <w:pPr>
        <w:pStyle w:val="Heading1"/>
        <w:keepNext/>
        <w:spacing w:after="120" w:before="320"/>
      </w:pPr>
      <w:r>
        <w:rPr>
          <w:rFonts w:ascii="Arial" w:cs="Arial" w:eastAsia="Arial" w:hAnsi="Arial"/>
          <w:b/>
          <w:bCs/>
          <w:color w:val="1F3864"/>
          <w:sz w:val="28"/>
          <w:szCs w:val="28"/>
        </w:rPr>
        <w:t xml:space="preserve">1. Tổng quan</w:t>
      </w:r>
    </w:p>
    <w:p>
      <w:pPr>
        <w:pStyle w:val="Heading2"/>
        <w:keepNext/>
        <w:spacing w:after="80" w:before="200"/>
      </w:pPr>
      <w:r>
        <w:rPr>
          <w:rFonts w:ascii="Arial" w:cs="Arial" w:eastAsia="Arial" w:hAnsi="Arial"/>
          <w:b/>
          <w:bCs/>
          <w:color w:val="2F5496"/>
          <w:sz w:val="24"/>
          <w:szCs w:val="24"/>
        </w:rPr>
        <w:t xml:space="preserve">Mục đích</w:t>
      </w:r>
    </w:p>
    <w:p>
      <w:pPr>
        <w:spacing w:after="100" w:before="0" w:line="300"/>
      </w:pPr>
      <w:r>
        <w:rPr>
          <w:rFonts w:ascii="Arial" w:cs="Arial" w:eastAsia="Arial" w:hAnsi="Arial"/>
          <w:sz w:val="21"/>
          <w:szCs w:val="21"/>
        </w:rPr>
        <w:t xml:space="preserve">Theo dõi số tiền khách còn nợ, hạn thanh toán, khoản quá hạn, tiền khách trả trước, sổ chi tiết từng khách và lập phiếu thu.</w:t>
      </w:r>
    </w:p>
    <w:p>
      <w:pPr>
        <w:pStyle w:val="Heading2"/>
        <w:keepNext/>
        <w:spacing w:after="80" w:before="200"/>
      </w:pPr>
      <w:r>
        <w:rPr>
          <w:rFonts w:ascii="Arial" w:cs="Arial" w:eastAsia="Arial" w:hAnsi="Arial"/>
          <w:b/>
          <w:bCs/>
          <w:color w:val="2F5496"/>
          <w:sz w:val="24"/>
          <w:szCs w:val="24"/>
        </w:rPr>
        <w:t xml:space="preserve">Đối tượng sử dụng</w:t>
      </w:r>
    </w:p>
    <w:p>
      <w:pPr>
        <w:pStyle w:val="ListParagraph"/>
        <w:numPr>
          <w:ilvl w:val="0"/>
          <w:numId w:val="2"/>
        </w:numPr>
        <w:spacing w:after="60" w:line="290"/>
      </w:pPr>
      <w:r>
        <w:rPr>
          <w:rFonts w:ascii="Arial" w:cs="Arial" w:eastAsia="Arial" w:hAnsi="Arial"/>
          <w:sz w:val="21"/>
          <w:szCs w:val="21"/>
        </w:rPr>
        <w:t xml:space="preserve">Kế toán: theo dõi, lập phiếu thu.</w:t>
      </w:r>
    </w:p>
    <w:p>
      <w:pPr>
        <w:pStyle w:val="ListParagraph"/>
        <w:numPr>
          <w:ilvl w:val="0"/>
          <w:numId w:val="2"/>
        </w:numPr>
        <w:spacing w:after="60" w:line="290"/>
      </w:pPr>
      <w:r>
        <w:rPr>
          <w:rFonts w:ascii="Arial" w:cs="Arial" w:eastAsia="Arial" w:hAnsi="Arial"/>
          <w:sz w:val="21"/>
          <w:szCs w:val="21"/>
        </w:rPr>
        <w:t xml:space="preserve">Sale / Quản lý: xem công nợ khách của mình.</w:t>
      </w:r>
    </w:p>
    <w:p>
      <w:pPr>
        <w:pStyle w:val="Heading2"/>
        <w:keepNext/>
        <w:spacing w:after="80" w:before="200"/>
      </w:pPr>
      <w:r>
        <w:rPr>
          <w:rFonts w:ascii="Arial" w:cs="Arial" w:eastAsia="Arial" w:hAnsi="Arial"/>
          <w:b/>
          <w:bCs/>
          <w:color w:val="2F5496"/>
          <w:sz w:val="24"/>
          <w:szCs w:val="24"/>
        </w:rPr>
        <w:t xml:space="preserve">Quyền liên quan</w:t>
      </w:r>
    </w:p>
    <w:p>
      <w:pPr>
        <w:spacing w:after="100" w:before="0" w:line="300"/>
      </w:pPr>
      <w:r>
        <w:rPr>
          <w:rFonts w:ascii="Arial" w:cs="Arial" w:eastAsia="Arial" w:hAnsi="Arial"/>
          <w:sz w:val="21"/>
          <w:szCs w:val="21"/>
        </w:rPr>
        <w:t xml:space="preserve">debt.view; voucher.create để lập phiếu thu.</w:t>
      </w:r>
    </w:p>
    <w:p>
      <w:pPr>
        <w:spacing w:after="100" w:before="0" w:line="300"/>
      </w:pPr>
      <w:r>
        <w:rPr>
          <w:rFonts w:ascii="Arial" w:cs="Arial" w:eastAsia="Arial" w:hAnsi="Arial"/>
          <w:i/>
          <w:iCs/>
          <w:sz w:val="19"/>
          <w:szCs w:val="19"/>
        </w:rPr>
        <w:t xml:space="preserve">Lưu ý: các mã quyền là danh mục đã định nghĩa (xem ATL-23); giao diện hiện chưa kiểm tra quyền — mọi tài khoản đăng nhập đều xem và dùng được mọi chức năng.</w:t>
      </w:r>
    </w:p>
    <w:p>
      <w:pPr>
        <w:pStyle w:val="Heading1"/>
        <w:keepNext/>
        <w:spacing w:after="120" w:before="320"/>
      </w:pPr>
      <w:r>
        <w:rPr>
          <w:rFonts w:ascii="Arial" w:cs="Arial" w:eastAsia="Arial" w:hAnsi="Arial"/>
          <w:b/>
          <w:bCs/>
          <w:color w:val="1F3864"/>
          <w:sz w:val="28"/>
          <w:szCs w:val="28"/>
        </w:rPr>
        <w:t xml:space="preserve">2. Quy trình (workflow)</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2100"/>
        <w:gridCol w:w="412"/>
        <w:gridCol w:w="2100"/>
        <w:gridCol w:w="412"/>
        <w:gridCol w:w="2100"/>
        <w:gridCol w:w="412"/>
        <w:gridCol w:w="2100"/>
      </w:tblGrid>
      <w:tr>
        <w:trPr>
          <w:cantSplit/>
        </w:trPr>
        <w:tc>
          <w:tcPr>
            <w:tcW w:type="dxa" w:w="21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vAlign w:val="center"/>
          </w:tcPr>
          <w:p>
            <w:pPr>
              <w:spacing w:after="20" w:line="270"/>
              <w:jc w:val="center"/>
            </w:pPr>
            <w:r>
              <w:rPr>
                <w:rFonts w:ascii="Arial" w:cs="Arial" w:eastAsia="Arial" w:hAnsi="Arial"/>
                <w:b/>
                <w:bCs/>
                <w:sz w:val="18"/>
                <w:szCs w:val="18"/>
              </w:rPr>
              <w:t xml:space="preserve">Giao hàng (công nợ phát sinh)</w:t>
            </w:r>
          </w:p>
        </w:tc>
        <w:tc>
          <w:tcPr>
            <w:tcW w:type="dxa" w:w="412"/>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20" w:line="270"/>
              <w:jc w:val="center"/>
            </w:pPr>
            <w:r>
              <w:rPr>
                <w:rFonts w:ascii="Arial" w:cs="Arial" w:eastAsia="Arial" w:hAnsi="Arial"/>
                <w:b/>
                <w:bCs/>
                <w:sz w:val="26"/>
                <w:szCs w:val="26"/>
              </w:rPr>
              <w:t xml:space="preserve">→</w:t>
            </w:r>
          </w:p>
        </w:tc>
        <w:tc>
          <w:tcPr>
            <w:tcW w:type="dxa" w:w="21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vAlign w:val="center"/>
          </w:tcPr>
          <w:p>
            <w:pPr>
              <w:spacing w:after="20" w:line="270"/>
              <w:jc w:val="center"/>
            </w:pPr>
            <w:r>
              <w:rPr>
                <w:rFonts w:ascii="Arial" w:cs="Arial" w:eastAsia="Arial" w:hAnsi="Arial"/>
                <w:b/>
                <w:bCs/>
                <w:sz w:val="18"/>
                <w:szCs w:val="18"/>
              </w:rPr>
              <w:t xml:space="preserve">Theo dõi số dư &amp; hạn</w:t>
            </w:r>
          </w:p>
        </w:tc>
        <w:tc>
          <w:tcPr>
            <w:tcW w:type="dxa" w:w="412"/>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20" w:line="270"/>
              <w:jc w:val="center"/>
            </w:pPr>
            <w:r>
              <w:rPr>
                <w:rFonts w:ascii="Arial" w:cs="Arial" w:eastAsia="Arial" w:hAnsi="Arial"/>
                <w:b/>
                <w:bCs/>
                <w:sz w:val="26"/>
                <w:szCs w:val="26"/>
              </w:rPr>
              <w:t xml:space="preserve">→</w:t>
            </w:r>
          </w:p>
        </w:tc>
        <w:tc>
          <w:tcPr>
            <w:tcW w:type="dxa" w:w="21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vAlign w:val="center"/>
          </w:tcPr>
          <w:p>
            <w:pPr>
              <w:spacing w:after="20" w:line="270"/>
              <w:jc w:val="center"/>
            </w:pPr>
            <w:r>
              <w:rPr>
                <w:rFonts w:ascii="Arial" w:cs="Arial" w:eastAsia="Arial" w:hAnsi="Arial"/>
                <w:b/>
                <w:bCs/>
                <w:sz w:val="18"/>
                <w:szCs w:val="18"/>
              </w:rPr>
              <w:t xml:space="preserve">Lập phiếu thu</w:t>
            </w:r>
          </w:p>
        </w:tc>
        <w:tc>
          <w:tcPr>
            <w:tcW w:type="dxa" w:w="412"/>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20" w:line="270"/>
              <w:jc w:val="center"/>
            </w:pPr>
            <w:r>
              <w:rPr>
                <w:rFonts w:ascii="Arial" w:cs="Arial" w:eastAsia="Arial" w:hAnsi="Arial"/>
                <w:b/>
                <w:bCs/>
                <w:sz w:val="26"/>
                <w:szCs w:val="26"/>
              </w:rPr>
              <w:t xml:space="preserve">→</w:t>
            </w:r>
          </w:p>
        </w:tc>
        <w:tc>
          <w:tcPr>
            <w:tcW w:type="dxa" w:w="21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vAlign w:val="center"/>
          </w:tcPr>
          <w:p>
            <w:pPr>
              <w:spacing w:after="20" w:line="270"/>
              <w:jc w:val="center"/>
            </w:pPr>
            <w:r>
              <w:rPr>
                <w:rFonts w:ascii="Arial" w:cs="Arial" w:eastAsia="Arial" w:hAnsi="Arial"/>
                <w:b/>
                <w:bCs/>
                <w:sz w:val="18"/>
                <w:szCs w:val="18"/>
              </w:rPr>
              <w:t xml:space="preserve">Đối trừ</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6"/>
        <w:gridCol w:w="1490"/>
        <w:gridCol w:w="3974"/>
        <w:gridCol w:w="3578"/>
      </w:tblGrid>
      <w:tr>
        <w:trPr>
          <w:cantSplit/>
          <w:tblHeader/>
        </w:trPr>
        <w:tc>
          <w:tcPr>
            <w:tcW w:type="dxa" w:w="59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Bước</w:t>
            </w:r>
          </w:p>
        </w:tc>
        <w:tc>
          <w:tcPr>
            <w:tcW w:type="dxa" w:w="149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Người thực hiện</w:t>
            </w:r>
          </w:p>
        </w:tc>
        <w:tc>
          <w:tcPr>
            <w:tcW w:type="dxa" w:w="3974"/>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Hành động</w:t>
            </w:r>
          </w:p>
        </w:tc>
        <w:tc>
          <w:tcPr>
            <w:tcW w:type="dxa" w:w="357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Kết quả / tác động</w:t>
            </w:r>
          </w:p>
        </w:tc>
      </w:tr>
      <w:tr>
        <w:trPr>
          <w:cantSplit/>
        </w:trPr>
        <w:tc>
          <w:tcPr>
            <w:tcW w:type="dxa" w:w="5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1</w:t>
            </w:r>
          </w:p>
        </w:tc>
        <w:tc>
          <w:tcPr>
            <w:tcW w:type="dxa" w:w="14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Hệ thống</w:t>
            </w:r>
          </w:p>
        </w:tc>
        <w:tc>
          <w:tcPr>
            <w:tcW w:type="dxa" w:w="397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Khách nhận hàng (giao trực tiếp hoặc chốt giao ở chuyến).</w:t>
            </w:r>
          </w:p>
        </w:tc>
        <w:tc>
          <w:tcPr>
            <w:tcW w:type="dxa" w:w="357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Khoản phát sinh = giá trị khách thực nhận; hạn = ngày nhận + số ngày được nợ của khách.</w:t>
            </w:r>
          </w:p>
        </w:tc>
      </w:tr>
      <w:tr>
        <w:trPr>
          <w:cantSplit/>
        </w:trPr>
        <w:tc>
          <w:tcPr>
            <w:tcW w:type="dxa" w:w="5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2</w:t>
            </w:r>
          </w:p>
        </w:tc>
        <w:tc>
          <w:tcPr>
            <w:tcW w:type="dxa" w:w="14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Kế toán</w:t>
            </w:r>
          </w:p>
        </w:tc>
        <w:tc>
          <w:tcPr>
            <w:tcW w:type="dxa" w:w="397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Mở màn công nợ, xem danh sách khách hàng theo số dư.</w:t>
            </w:r>
          </w:p>
        </w:tc>
        <w:tc>
          <w:tcPr>
            <w:tcW w:type="dxa" w:w="357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Cột: Mã KH, Tên khách hàng, Loại, Điện thoại, Được nợ, Số khoản, Hạn gần nhất, Trả trước, Quá hạn, Số dư. Có dải "Cơ cấu nợ theo tuổi nợ", nút "Chỉ quá hạn", "Chỉ đối tác còn nợ" (mặc định bật), sắp xếp (Số dư lớn nhất, Quá hạn nhiều nhất, Hạn gần nhất, Tên A → Z).</w:t>
            </w:r>
          </w:p>
        </w:tc>
      </w:tr>
      <w:tr>
        <w:trPr>
          <w:cantSplit/>
        </w:trPr>
        <w:tc>
          <w:tcPr>
            <w:tcW w:type="dxa" w:w="5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3</w:t>
            </w:r>
          </w:p>
        </w:tc>
        <w:tc>
          <w:tcPr>
            <w:tcW w:type="dxa" w:w="14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Kế toán</w:t>
            </w:r>
          </w:p>
        </w:tc>
        <w:tc>
          <w:tcPr>
            <w:tcW w:type="dxa" w:w="397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Mở sổ chi tiết của một đối tác.</w:t>
            </w:r>
          </w:p>
        </w:tc>
        <w:tc>
          <w:tcPr>
            <w:tcW w:type="dxa" w:w="357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Tóm tắt: Số dư, Hạn gần nhất, Khoản còn mở, Trong đó quá hạn, Trả trước chưa dùng; bảng sổ liên kết về đơn hàng (/don-hang/:id); có bộ lọc kỳ và in Biên bản đối chiếu.</w:t>
            </w:r>
          </w:p>
        </w:tc>
      </w:tr>
      <w:tr>
        <w:trPr>
          <w:cantSplit/>
        </w:trPr>
        <w:tc>
          <w:tcPr>
            <w:tcW w:type="dxa" w:w="5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4</w:t>
            </w:r>
          </w:p>
        </w:tc>
        <w:tc>
          <w:tcPr>
            <w:tcW w:type="dxa" w:w="14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Kế toán</w:t>
            </w:r>
          </w:p>
        </w:tc>
        <w:tc>
          <w:tcPr>
            <w:tcW w:type="dxa" w:w="397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Lập phiếu thu cho khách (nút ở đầu trang hoặc ở từng dòng).</w:t>
            </w:r>
          </w:p>
        </w:tc>
        <w:tc>
          <w:tcPr>
            <w:tcW w:type="dxa" w:w="357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Mở form Phiếu thu (/thu-chi/lap/thu); lưu xong quay lại màn công nợ kèm thông báo.</w:t>
            </w:r>
          </w:p>
        </w:tc>
      </w:tr>
    </w:tbl>
    <w:p>
      <w:pPr>
        <w:pStyle w:val="Heading1"/>
        <w:keepNext/>
        <w:spacing w:after="120" w:before="320"/>
      </w:pPr>
      <w:r>
        <w:rPr>
          <w:rFonts w:ascii="Arial" w:cs="Arial" w:eastAsia="Arial" w:hAnsi="Arial"/>
          <w:b/>
          <w:bCs/>
          <w:color w:val="1F3864"/>
          <w:sz w:val="28"/>
          <w:szCs w:val="28"/>
        </w:rPr>
        <w:t xml:space="preserve">3. Màn hình &amp; thành phần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cantSplit/>
          <w:tblHeader/>
        </w:trPr>
        <w:tc>
          <w:tcPr>
            <w:tcW w:type="dxa" w:w="2409"/>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Màn hình / thành phần</w:t>
            </w:r>
          </w:p>
        </w:tc>
        <w:tc>
          <w:tcPr>
            <w:tcW w:type="dxa" w:w="7229"/>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Mô tả</w:t>
            </w:r>
          </w:p>
        </w:tc>
      </w:tr>
      <w:tr>
        <w:trPr>
          <w:cantSplit/>
        </w:trPr>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Danh sách công nợ</w:t>
            </w:r>
          </w:p>
        </w:tc>
        <w:tc>
          <w:tcPr>
            <w:tcW w:type="dxa" w:w="722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Tìm khách hàng; xuất Excel; dải tuổi nợ; dòng tổng.</w:t>
            </w:r>
          </w:p>
        </w:tc>
      </w:tr>
      <w:tr>
        <w:trPr>
          <w:cantSplit/>
        </w:trPr>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Sổ chi tiết</w:t>
            </w:r>
          </w:p>
        </w:tc>
        <w:tc>
          <w:tcPr>
            <w:tcW w:type="dxa" w:w="722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Cùng route với ?partnerId=, dùng chung màn với phải trả. Có tóm tắt, bộ lọc kỳ, in "Biên bản đối chiếu công nợ".</w:t>
            </w:r>
          </w:p>
        </w:tc>
      </w:tr>
    </w:tbl>
    <w:p>
      <w:pPr>
        <w:pStyle w:val="Heading1"/>
        <w:keepNext/>
        <w:spacing w:after="120" w:before="320"/>
      </w:pPr>
      <w:r>
        <w:rPr>
          <w:rFonts w:ascii="Arial" w:cs="Arial" w:eastAsia="Arial" w:hAnsi="Arial"/>
          <w:b/>
          <w:bCs/>
          <w:color w:val="1F3864"/>
          <w:sz w:val="28"/>
          <w:szCs w:val="28"/>
        </w:rPr>
        <w:t xml:space="preserve">4. Quy tắc nghiệp vụ</w:t>
      </w:r>
    </w:p>
    <w:p>
      <w:pPr>
        <w:pStyle w:val="ListParagraph"/>
        <w:numPr>
          <w:ilvl w:val="0"/>
          <w:numId w:val="3"/>
        </w:numPr>
        <w:spacing w:after="70" w:line="290"/>
      </w:pPr>
      <w:r>
        <w:rPr>
          <w:rFonts w:ascii="Arial" w:cs="Arial" w:eastAsia="Arial" w:hAnsi="Arial"/>
          <w:sz w:val="21"/>
          <w:szCs w:val="21"/>
        </w:rPr>
        <w:t xml:space="preserve"/>
      </w:r>
      <w:r>
        <w:rPr>
          <w:rFonts w:ascii="Arial" w:cs="Arial" w:eastAsia="Arial" w:hAnsi="Arial"/>
          <w:b/>
          <w:bCs/>
          <w:sz w:val="21"/>
          <w:szCs w:val="21"/>
        </w:rPr>
        <w:t xml:space="preserve">Phải thu theo giá trị khách THỰC NHẬN</w:t>
      </w:r>
      <w:r>
        <w:rPr>
          <w:rFonts w:ascii="Arial" w:cs="Arial" w:eastAsia="Arial" w:hAnsi="Arial"/>
          <w:sz w:val="21"/>
          <w:szCs w:val="21"/>
        </w:rPr>
        <w:t xml:space="preserve">, không theo số đặt; hạn = ngày giao + số ngày được nợ của khách.</w:t>
      </w:r>
    </w:p>
    <w:p>
      <w:pPr>
        <w:pStyle w:val="ListParagraph"/>
        <w:numPr>
          <w:ilvl w:val="0"/>
          <w:numId w:val="3"/>
        </w:numPr>
        <w:spacing w:after="70" w:line="290"/>
      </w:pPr>
      <w:r>
        <w:rPr>
          <w:rFonts w:ascii="Arial" w:cs="Arial" w:eastAsia="Arial" w:hAnsi="Arial"/>
          <w:sz w:val="21"/>
          <w:szCs w:val="21"/>
        </w:rPr>
        <w:t xml:space="preserve"/>
      </w:r>
      <w:r>
        <w:rPr>
          <w:rFonts w:ascii="Arial" w:cs="Arial" w:eastAsia="Arial" w:hAnsi="Arial"/>
          <w:b/>
          <w:bCs/>
          <w:sz w:val="21"/>
          <w:szCs w:val="21"/>
        </w:rPr>
        <w:t xml:space="preserve">Số dư tính trên toàn bộ lịch sử</w:t>
      </w:r>
      <w:r>
        <w:rPr>
          <w:rFonts w:ascii="Arial" w:cs="Arial" w:eastAsia="Arial" w:hAnsi="Arial"/>
          <w:sz w:val="21"/>
          <w:szCs w:val="21"/>
        </w:rPr>
        <w:t xml:space="preserve">, không phụ thuộc khoảng ngày.</w:t>
      </w:r>
    </w:p>
    <w:p>
      <w:pPr>
        <w:pStyle w:val="ListParagraph"/>
        <w:numPr>
          <w:ilvl w:val="0"/>
          <w:numId w:val="3"/>
        </w:numPr>
        <w:spacing w:after="70" w:line="290"/>
      </w:pPr>
      <w:r>
        <w:rPr>
          <w:rFonts w:ascii="Arial" w:cs="Arial" w:eastAsia="Arial" w:hAnsi="Arial"/>
          <w:sz w:val="21"/>
          <w:szCs w:val="21"/>
        </w:rPr>
        <w:t xml:space="preserve">Phiếu thu: phần Chọn tay trừ đúng chứng từ; phần còn lại và mọi phiếu Tự động trừ khoản đến hạn sớm nhất (FIFO).</w:t>
      </w:r>
    </w:p>
    <w:p>
      <w:pPr>
        <w:pStyle w:val="ListParagraph"/>
        <w:numPr>
          <w:ilvl w:val="0"/>
          <w:numId w:val="3"/>
        </w:numPr>
        <w:spacing w:after="70" w:line="290"/>
      </w:pPr>
      <w:r>
        <w:rPr>
          <w:rFonts w:ascii="Arial" w:cs="Arial" w:eastAsia="Arial" w:hAnsi="Arial"/>
          <w:sz w:val="21"/>
          <w:szCs w:val="21"/>
        </w:rPr>
        <w:t xml:space="preserve">Tiền thu dư không gán được là </w:t>
      </w:r>
      <w:r>
        <w:rPr>
          <w:rFonts w:ascii="Arial" w:cs="Arial" w:eastAsia="Arial" w:hAnsi="Arial"/>
          <w:b/>
          <w:bCs/>
          <w:sz w:val="21"/>
          <w:szCs w:val="21"/>
        </w:rPr>
        <w:t xml:space="preserve">Trả trước</w:t>
      </w:r>
      <w:r>
        <w:rPr>
          <w:rFonts w:ascii="Arial" w:cs="Arial" w:eastAsia="Arial" w:hAnsi="Arial"/>
          <w:sz w:val="21"/>
          <w:szCs w:val="21"/>
        </w:rPr>
        <w:t xml:space="preserve"> (số dư âm, hiện màu).</w:t>
      </w:r>
    </w:p>
    <w:p>
      <w:pPr>
        <w:pStyle w:val="ListParagraph"/>
        <w:numPr>
          <w:ilvl w:val="0"/>
          <w:numId w:val="3"/>
        </w:numPr>
        <w:spacing w:after="70" w:line="290"/>
      </w:pPr>
      <w:r>
        <w:rPr>
          <w:rFonts w:ascii="Arial" w:cs="Arial" w:eastAsia="Arial" w:hAnsi="Arial"/>
          <w:sz w:val="21"/>
          <w:szCs w:val="21"/>
        </w:rPr>
        <w:t xml:space="preserve">Phiếu hoàn tiền cho khách (chiều ngược lại) tính như một khoản nợ.</w:t>
      </w:r>
    </w:p>
    <w:p>
      <w:pPr>
        <w:pStyle w:val="ListParagraph"/>
        <w:numPr>
          <w:ilvl w:val="0"/>
          <w:numId w:val="3"/>
        </w:numPr>
        <w:spacing w:after="70" w:line="290"/>
      </w:pPr>
      <w:r>
        <w:rPr>
          <w:rFonts w:ascii="Arial" w:cs="Arial" w:eastAsia="Arial" w:hAnsi="Arial"/>
          <w:sz w:val="21"/>
          <w:szCs w:val="21"/>
        </w:rPr>
        <w:t xml:space="preserve">Phiếu đã huỷ không tính; công nợ tự mở lại.</w:t>
      </w:r>
    </w:p>
    <w:p>
      <w:pPr>
        <w:pStyle w:val="ListParagraph"/>
        <w:numPr>
          <w:ilvl w:val="0"/>
          <w:numId w:val="3"/>
        </w:numPr>
        <w:spacing w:after="70" w:line="290"/>
      </w:pPr>
      <w:r>
        <w:rPr>
          <w:rFonts w:ascii="Arial" w:cs="Arial" w:eastAsia="Arial" w:hAnsi="Arial"/>
          <w:sz w:val="21"/>
          <w:szCs w:val="21"/>
        </w:rPr>
        <w:t xml:space="preserve">Đối tác tất toán (số dư 0) không hiện.</w:t>
      </w:r>
    </w:p>
    <w:p>
      <w:pPr>
        <w:pStyle w:val="Heading1"/>
        <w:keepNext/>
        <w:spacing w:after="120" w:before="320"/>
      </w:pPr>
      <w:r>
        <w:rPr>
          <w:rFonts w:ascii="Arial" w:cs="Arial" w:eastAsia="Arial" w:hAnsi="Arial"/>
          <w:b/>
          <w:bCs/>
          <w:color w:val="1F3864"/>
          <w:sz w:val="28"/>
          <w:szCs w:val="28"/>
        </w:rPr>
        <w:t xml:space="preserve">5. Dữ liệu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007"/>
        <w:gridCol w:w="5222"/>
      </w:tblGrid>
      <w:tr>
        <w:trPr>
          <w:cantSplit/>
          <w:tblHeader/>
        </w:trPr>
        <w:tc>
          <w:tcPr>
            <w:tcW w:type="dxa" w:w="2409"/>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Trường</w:t>
            </w:r>
          </w:p>
        </w:tc>
        <w:tc>
          <w:tcPr>
            <w:tcW w:type="dxa" w:w="2007"/>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Kiểu / định dạng</w:t>
            </w:r>
          </w:p>
        </w:tc>
        <w:tc>
          <w:tcPr>
            <w:tcW w:type="dxa" w:w="5222"/>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Mô tả</w:t>
            </w:r>
          </w:p>
        </w:tc>
      </w:tr>
      <w:tr>
        <w:trPr>
          <w:cantSplit/>
        </w:trPr>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DebtRow / DebtEntry</w:t>
            </w:r>
          </w:p>
        </w:tc>
        <w:tc>
          <w:tcPr>
            <w:tcW w:type="dxa" w:w="20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Như công nợ phải trả</w:t>
            </w:r>
          </w:p>
        </w:tc>
        <w:tc>
          <w:tcPr>
            <w:tcW w:type="dxa" w:w="52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partnerId, balance, overdue, prepaid, aging, entries; entry gồm ref, date, dueDate, amount, loại.</w:t>
            </w:r>
          </w:p>
        </w:tc>
      </w:tr>
    </w:tbl>
    <w:p>
      <w:pPr>
        <w:pStyle w:val="Heading1"/>
        <w:keepNext/>
        <w:spacing w:after="120" w:before="320"/>
      </w:pPr>
      <w:r>
        <w:rPr>
          <w:rFonts w:ascii="Arial" w:cs="Arial" w:eastAsia="Arial" w:hAnsi="Arial"/>
          <w:b/>
          <w:bCs/>
          <w:color w:val="1F3864"/>
          <w:sz w:val="28"/>
          <w:szCs w:val="28"/>
        </w:rPr>
        <w:t xml:space="preserve">6. Liên kết với chức năng khác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0"/>
        <w:gridCol w:w="7028"/>
      </w:tblGrid>
      <w:tr>
        <w:trPr>
          <w:cantSplit/>
          <w:tblHeader/>
        </w:trPr>
        <w:tc>
          <w:tcPr>
            <w:tcW w:type="dxa" w:w="261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Chức năng</w:t>
            </w:r>
          </w:p>
        </w:tc>
        <w:tc>
          <w:tcPr>
            <w:tcW w:type="dxa" w:w="702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Quan hệ</w:t>
            </w:r>
          </w:p>
        </w:tc>
      </w:tr>
      <w:tr>
        <w:trPr>
          <w:cantSplit/>
        </w:trPr>
        <w:tc>
          <w:tcPr>
            <w:tcW w:type="dxa" w:w="261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Đơn hàng bán (ATL-12), Chuyến giao hàng (ATL-13)</w:t>
            </w:r>
          </w:p>
        </w:tc>
        <w:tc>
          <w:tcPr>
            <w:tcW w:type="dxa" w:w="702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Nguồn phát sinh công nợ.</w:t>
            </w:r>
          </w:p>
        </w:tc>
      </w:tr>
      <w:tr>
        <w:trPr>
          <w:cantSplit/>
        </w:trPr>
        <w:tc>
          <w:tcPr>
            <w:tcW w:type="dxa" w:w="261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Phiếu thu chi (ATL-16)</w:t>
            </w:r>
          </w:p>
        </w:tc>
        <w:tc>
          <w:tcPr>
            <w:tcW w:type="dxa" w:w="702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Phiếu thu đối trừ.</w:t>
            </w:r>
          </w:p>
        </w:tc>
      </w:tr>
      <w:tr>
        <w:trPr>
          <w:cantSplit/>
        </w:trPr>
        <w:tc>
          <w:tcPr>
            <w:tcW w:type="dxa" w:w="261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Tuổi nợ (ATL-19)</w:t>
            </w:r>
          </w:p>
        </w:tc>
        <w:tc>
          <w:tcPr>
            <w:tcW w:type="dxa" w:w="702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Phân loại độ trễ.</w:t>
            </w:r>
          </w:p>
        </w:tc>
      </w:tr>
      <w:tr>
        <w:trPr>
          <w:cantSplit/>
        </w:trPr>
        <w:tc>
          <w:tcPr>
            <w:tcW w:type="dxa" w:w="261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Khách hàng (ATL-11)</w:t>
            </w:r>
          </w:p>
        </w:tc>
        <w:tc>
          <w:tcPr>
            <w:tcW w:type="dxa" w:w="702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Số ngày được nợ.</w:t>
            </w:r>
          </w:p>
        </w:tc>
      </w:tr>
    </w:tbl>
    <w:p>
      <w:pPr>
        <w:pStyle w:val="Heading1"/>
        <w:keepNext/>
        <w:spacing w:after="120" w:before="320"/>
      </w:pPr>
      <w:r>
        <w:rPr>
          <w:rFonts w:ascii="Arial" w:cs="Arial" w:eastAsia="Arial" w:hAnsi="Arial"/>
          <w:b/>
          <w:bCs/>
          <w:color w:val="1F3864"/>
          <w:sz w:val="28"/>
          <w:szCs w:val="28"/>
        </w:rPr>
        <w:t xml:space="preserve">7. Trường hợp ngoại lệ &amp; thông báo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14"/>
        <w:gridCol w:w="6024"/>
      </w:tblGrid>
      <w:tr>
        <w:trPr>
          <w:cantSplit/>
          <w:tblHeader/>
        </w:trPr>
        <w:tc>
          <w:tcPr>
            <w:tcW w:type="dxa" w:w="3614"/>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Tình huống</w:t>
            </w:r>
          </w:p>
        </w:tc>
        <w:tc>
          <w:tcPr>
            <w:tcW w:type="dxa" w:w="6024"/>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Hệ thống xử lý</w:t>
            </w:r>
          </w:p>
        </w:tc>
      </w:tr>
      <w:tr>
        <w:trPr>
          <w:cantSplit/>
        </w:trPr>
        <w:tc>
          <w:tcPr>
            <w:tcW w:type="dxa" w:w="361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Khách không còn nợ</w:t>
            </w:r>
          </w:p>
        </w:tc>
        <w:tc>
          <w:tcPr>
            <w:tcW w:type="dxa" w:w="602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Không hiện trong danh sách.</w:t>
            </w:r>
          </w:p>
        </w:tc>
      </w:tr>
    </w:tbl>
    <w:p>
      <w:pPr>
        <w:pStyle w:val="Heading1"/>
        <w:keepNext/>
        <w:spacing w:after="120" w:before="320"/>
      </w:pPr>
      <w:r>
        <w:rPr>
          <w:rFonts w:ascii="Arial" w:cs="Arial" w:eastAsia="Arial" w:hAnsi="Arial"/>
          <w:b/>
          <w:bCs/>
          <w:color w:val="1F3864"/>
          <w:sz w:val="28"/>
          <w:szCs w:val="28"/>
        </w:rPr>
        <w:t xml:space="preserve">8. Bản in</w:t>
      </w:r>
    </w:p>
    <w:p>
      <w:pPr>
        <w:pStyle w:val="ListParagraph"/>
        <w:numPr>
          <w:ilvl w:val="0"/>
          <w:numId w:val="2"/>
        </w:numPr>
        <w:spacing w:after="60" w:line="290"/>
      </w:pPr>
      <w:r>
        <w:rPr>
          <w:rFonts w:ascii="Arial" w:cs="Arial" w:eastAsia="Arial" w:hAnsi="Arial"/>
          <w:sz w:val="21"/>
          <w:szCs w:val="21"/>
        </w:rPr>
        <w:t xml:space="preserve">Phiếu in: </w:t>
      </w:r>
      <w:r>
        <w:rPr>
          <w:rFonts w:ascii="Arial" w:cs="Arial" w:eastAsia="Arial" w:hAnsi="Arial"/>
          <w:b/>
          <w:bCs/>
          <w:sz w:val="21"/>
          <w:szCs w:val="21"/>
        </w:rPr>
        <w:t xml:space="preserve">Biên bản đối chiếu công nợ</w:t>
      </w:r>
      <w:r>
        <w:rPr>
          <w:rFonts w:ascii="Arial" w:cs="Arial" w:eastAsia="Arial" w:hAnsi="Arial"/>
          <w:sz w:val="21"/>
          <w:szCs w:val="21"/>
        </w:rPr>
        <w:t xml:space="preserve">, dựng bằng khuôn in chung (ATL-26): tiêu đề công ty (logo + tên + địa chỉ, mã số thuế, điện thoại, email, website có nhãn) và số phiếu, tiêu đề, khối thông tin, bảng, khối ký, chân trang "In lúc … · người in".</w:t>
      </w:r>
    </w:p>
    <w:p>
      <w:pPr>
        <w:pStyle w:val="ListParagraph"/>
        <w:numPr>
          <w:ilvl w:val="0"/>
          <w:numId w:val="2"/>
        </w:numPr>
        <w:spacing w:after="60" w:line="290"/>
      </w:pPr>
      <w:r>
        <w:rPr>
          <w:rFonts w:ascii="Arial" w:cs="Arial" w:eastAsia="Arial" w:hAnsi="Arial"/>
          <w:sz w:val="21"/>
          <w:szCs w:val="21"/>
        </w:rPr>
        <w:t xml:space="preserve">Từ sổ chi tiết của một khách hàng: Bên A / Bên B, kỳ đối chiếu, bảng phát sinh, số dư đầu / cuối kỳ; ký đại diện hai bên (đóng dấu).</w:t>
      </w:r>
    </w:p>
    <w:p>
      <w:pPr>
        <w:pStyle w:val="Heading1"/>
        <w:keepNext/>
        <w:spacing w:after="120" w:before="320"/>
      </w:pPr>
      <w:r>
        <w:rPr>
          <w:rFonts w:ascii="Arial" w:cs="Arial" w:eastAsia="Arial" w:hAnsi="Arial"/>
          <w:b/>
          <w:bCs/>
          <w:color w:val="1F3864"/>
          <w:sz w:val="28"/>
          <w:szCs w:val="28"/>
        </w:rPr>
        <w:t xml:space="preserve">9. Ghi chú &amp; giới hạn hiện tại</w:t>
      </w:r>
    </w:p>
    <w:p>
      <w:pPr>
        <w:pStyle w:val="ListParagraph"/>
        <w:numPr>
          <w:ilvl w:val="0"/>
          <w:numId w:val="2"/>
        </w:numPr>
        <w:spacing w:after="60" w:line="290"/>
      </w:pPr>
      <w:r>
        <w:rPr>
          <w:rFonts w:ascii="Arial" w:cs="Arial" w:eastAsia="Arial" w:hAnsi="Arial"/>
          <w:sz w:val="21"/>
          <w:szCs w:val="21"/>
        </w:rPr>
        <w:t xml:space="preserve">Tổng phải thu khớp tổng giá trị thực nhận trừ tổng phiếu thu đã đối trừ.</w:t>
      </w:r>
    </w:p>
    <w:p>
      <w:pPr>
        <w:pStyle w:val="ListParagraph"/>
        <w:numPr>
          <w:ilvl w:val="0"/>
          <w:numId w:val="2"/>
        </w:numPr>
        <w:spacing w:after="60" w:line="290"/>
      </w:pPr>
      <w:r>
        <w:rPr>
          <w:rFonts w:ascii="Arial" w:cs="Arial" w:eastAsia="Arial" w:hAnsi="Arial"/>
          <w:sz w:val="21"/>
          <w:szCs w:val="21"/>
        </w:rPr>
        <w:t xml:space="preserve">Hệ thống hiện chạy trên dữ liệu mô phỏng (mock) trong trình duyệt; các quy tắc dưới đây là hành vi đã cài đặt ở giao diện và sẽ ánh xạ 1:1 sang API backend.</w:t>
      </w:r>
    </w:p>
    <w:sectPr>
      <w:headerReference w:type="default" r:id="rId6"/>
      <w:footerReference w:type="default" r:id="rId7"/>
      <w:pgSz w:w="11906" w:h="16838" w:orient="portrait"/>
      <w:pgMar w:top="1300" w:right="1134" w:bottom="1200"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7"/>
        <w:szCs w:val="17"/>
      </w:rPr>
      <w:t xml:space="preserve">Trang </w:t>
    </w:r>
    <w:r>
      <w:rPr>
        <w:rFonts w:ascii="Arial" w:cs="Arial" w:eastAsia="Arial" w:hAnsi="Arial"/>
        <w:color w:val="7F7F7F"/>
        <w:sz w:val="17"/>
        <w:szCs w:val="17"/>
      </w:rPr>
      <w:fldChar w:fldCharType="begin"/>
    </w:r>
    <w:r>
      <w:rPr>
        <w:rFonts w:ascii="Arial" w:cs="Arial" w:eastAsia="Arial" w:hAnsi="Arial"/>
        <w:color w:val="7F7F7F"/>
        <w:sz w:val="17"/>
        <w:szCs w:val="17"/>
      </w:rPr>
      <w:instrText xml:space="preserve">PAGE</w:instrText>
    </w:r>
    <w:r>
      <w:rPr>
        <w:rFonts w:ascii="Arial" w:cs="Arial" w:eastAsia="Arial" w:hAnsi="Arial"/>
        <w:color w:val="7F7F7F"/>
        <w:sz w:val="17"/>
        <w:szCs w:val="17"/>
      </w:rPr>
      <w:fldChar w:fldCharType="separate"/>
    </w:r>
    <w:r>
      <w:rPr>
        <w:rFonts w:ascii="Arial" w:cs="Arial" w:eastAsia="Arial" w:hAnsi="Arial"/>
        <w:color w:val="7F7F7F"/>
        <w:sz w:val="17"/>
        <w:szCs w:val="17"/>
      </w:rPr>
      <w:fldChar w:fldCharType="end"/>
    </w:r>
    <w:r>
      <w:rPr>
        <w:rFonts w:ascii="Arial" w:cs="Arial" w:eastAsia="Arial" w:hAnsi="Arial"/>
        <w:color w:val="7F7F7F"/>
        <w:sz w:val="17"/>
        <w:szCs w:val="17"/>
      </w:rPr>
      <w:t xml:space="preserve"> / </w:t>
    </w:r>
    <w:r>
      <w:rPr>
        <w:rFonts w:ascii="Arial" w:cs="Arial" w:eastAsia="Arial" w:hAnsi="Arial"/>
        <w:color w:val="7F7F7F"/>
        <w:sz w:val="17"/>
        <w:szCs w:val="17"/>
      </w:rPr>
      <w:fldChar w:fldCharType="begin"/>
    </w:r>
    <w:r>
      <w:rPr>
        <w:rFonts w:ascii="Arial" w:cs="Arial" w:eastAsia="Arial" w:hAnsi="Arial"/>
        <w:color w:val="7F7F7F"/>
        <w:sz w:val="17"/>
        <w:szCs w:val="17"/>
      </w:rPr>
      <w:instrText xml:space="preserve">NUMPAGES</w:instrText>
    </w:r>
    <w:r>
      <w:rPr>
        <w:rFonts w:ascii="Arial" w:cs="Arial" w:eastAsia="Arial" w:hAnsi="Arial"/>
        <w:color w:val="7F7F7F"/>
        <w:sz w:val="17"/>
        <w:szCs w:val="17"/>
      </w:rPr>
      <w:fldChar w:fldCharType="separate"/>
    </w:r>
    <w:r>
      <w:rPr>
        <w:rFonts w:ascii="Arial" w:cs="Arial" w:eastAsia="Arial" w:hAnsi="Arial"/>
        <w:color w:val="7F7F7F"/>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A6A6" w:sz="6" w:space="2"/>
      </w:pBdr>
      <w:tabs>
        <w:tab w:val="right" w:pos="9638"/>
      </w:tabs>
    </w:pPr>
    <w:r>
      <w:rPr>
        <w:rFonts w:ascii="Arial" w:cs="Arial" w:eastAsia="Arial" w:hAnsi="Arial"/>
        <w:color w:val="7F7F7F"/>
        <w:sz w:val="17"/>
        <w:szCs w:val="17"/>
      </w:rPr>
      <w:t xml:space="preserve">Ninh Trang ERP — Tài liệu Atlas</w:t>
    </w:r>
    <w:r>
      <w:rPr>
        <w:rFonts w:ascii="Arial" w:cs="Arial" w:eastAsia="Arial" w:hAnsi="Arial"/>
        <w:color w:val="7F7F7F"/>
        <w:sz w:val="17"/>
        <w:szCs w:val="17"/>
      </w:rPr>
      <w:t xml:space="preserve">	ATL-15 · Công nợ phải thu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F5496"/>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ATL-15 — Công nợ phải thu</dc:title>
  <dc:creator>Ninh Trang ERP</dc:creator>
  <cp:lastModifiedBy>Un-named</cp:lastModifiedBy>
  <cp:revision>1</cp:revision>
  <dcterms:created xsi:type="dcterms:W3CDTF">2026-10-22T00:22:04.790Z</dcterms:created>
  <dcterms:modified xsi:type="dcterms:W3CDTF">2026-10-22T00:22:04.790Z</dcterms:modified>
</cp:coreProperties>
</file>

<file path=docProps/custom.xml><?xml version="1.0" encoding="utf-8"?>
<Properties xmlns="http://schemas.openxmlformats.org/officeDocument/2006/custom-properties" xmlns:vt="http://schemas.openxmlformats.org/officeDocument/2006/docPropsVTypes"/>
</file>