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7F7F7F"/>
          <w:sz w:val="18"/>
          <w:szCs w:val="18"/>
        </w:rPr>
        <w:t xml:space="preserve">TÀI LIỆU ATLAS — CHỨC NĂNG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F3864"/>
          <w:sz w:val="40"/>
          <w:szCs w:val="40"/>
        </w:rPr>
        <w:t xml:space="preserve">Loại thu chi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Mã tài liệu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ATL-18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Phân hệ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Dòng tiền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Đường dẫn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/thu-chi/loai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Phiên bản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1.0 — 22/10/2026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Hệ thống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Ninh Trang ERP — quản lý bán hàng, kho, sản xuất, giao hàng, công nợ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1. Tổng quan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Mục đích</w:t>
      </w:r>
    </w:p>
    <w:p>
      <w:pPr>
        <w:spacing w:after="100" w:before="0" w:line="300"/>
      </w:pPr>
      <w:r>
        <w:rPr>
          <w:rFonts w:ascii="Arial" w:cs="Arial" w:eastAsia="Arial" w:hAnsi="Arial"/>
          <w:sz w:val="21"/>
          <w:szCs w:val="21"/>
        </w:rPr>
        <w:t xml:space="preserve">Danh mục phân loại phiếu thu / phiếu chi; loại quyết định phiếu có gắn đối tác (khách hàng, nhà cung cấp) và có đối trừ công nợ hay không.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Đối tượng sử dụng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Kế toán / Quản lý.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Quyền liên quan</w:t>
      </w:r>
    </w:p>
    <w:p>
      <w:pPr>
        <w:spacing w:after="100" w:before="0" w:line="300"/>
      </w:pPr>
      <w:r>
        <w:rPr>
          <w:rFonts w:ascii="Arial" w:cs="Arial" w:eastAsia="Arial" w:hAnsi="Arial"/>
          <w:sz w:val="21"/>
          <w:szCs w:val="21"/>
        </w:rPr>
        <w:t xml:space="preserve">voucher.view; cấu hình theo quyền kế toán.</w:t>
      </w:r>
    </w:p>
    <w:p>
      <w:pPr>
        <w:spacing w:after="100" w:before="0" w:line="300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Lưu ý: các mã quyền là danh mục đã định nghĩa (xem ATL-23); giao diện hiện chưa kiểm tra quyền — mọi tài khoản đăng nhập đều xem và dùng được mọi chức năng.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2. Quy trình (workflow)</w:t>
      </w:r>
    </w:p>
    <w:tbl>
      <w:tblPr>
        <w:tblW w:type="dxa" w:w="71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412"/>
        <w:gridCol w:w="2100"/>
        <w:gridCol w:w="412"/>
        <w:gridCol w:w="2100"/>
      </w:tblGrid>
      <w:tr>
        <w:trPr>
          <w:cantSplit/>
        </w:trPr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Thêm loại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Chọn chiều Thu / Chi &amp; đối tác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Dùng khi lập phiếu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6"/>
        <w:gridCol w:w="1490"/>
        <w:gridCol w:w="3974"/>
        <w:gridCol w:w="3578"/>
      </w:tblGrid>
      <w:tr>
        <w:trPr>
          <w:cantSplit/>
          <w:tblHeader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Bước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Người thực hiện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Hành động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Kết quả / tác động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Kế toán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Bấm "Thêm loại": tên, chiều (Thu / Chi), đối tác (Khách hàng / Nhà cung cấp / Không gắn).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Loại xuất hiện ở form phiếu cùng chiều.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Kế toán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Tick "Mặc định khi lập phiếu" cho một loại mỗi chiều.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Loại đó được chọn sẵn và có nhãn "Mặc định".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Kế toán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Sửa tên hoặc bấm "Ngừng dùng" loại tự tạo.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Đổi tên: phiếu cũ đổi theo.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3. Màn hình &amp; thành phần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cantSplit/>
          <w:tblHeader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Màn hình / thành phần</w:t>
            </w:r>
          </w:p>
        </w:tc>
        <w:tc>
          <w:tcPr>
            <w:tcW w:type="dxa" w:w="7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Mô tả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Danh sách loại</w:t>
            </w:r>
          </w:p>
        </w:tc>
        <w:tc>
          <w:tcPr>
            <w:tcW w:type="dxa" w:w="7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Tên, chiều, đối tác, mặc định, hệ thống / tự tạo, trạng thái; mô tả tác động: gắn khách/NCC thì làm giảm công nợ, không gắn thì chỉ ghi sổ quỹ.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4. Quy tắc nghiệp vụ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Bốn loại hệ thống có sẵn</w:t>
      </w:r>
      <w:r>
        <w:rPr>
          <w:rFonts w:ascii="Arial" w:cs="Arial" w:eastAsia="Arial" w:hAnsi="Arial"/>
          <w:sz w:val="21"/>
          <w:szCs w:val="21"/>
        </w:rPr>
        <w:t xml:space="preserve"> (không xoá): Thu tiền khách hàng (gắn khách), Thu khác, Chi trả nhà cung cấp (gắn NCC), Chi khác.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Loại gắn khách hàng hoặc NCC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làm giảm công nợ</w:t>
      </w:r>
      <w:r>
        <w:rPr>
          <w:rFonts w:ascii="Arial" w:cs="Arial" w:eastAsia="Arial" w:hAnsi="Arial"/>
          <w:sz w:val="21"/>
          <w:szCs w:val="21"/>
        </w:rPr>
        <w:t xml:space="preserve">; loại Không gắn chỉ ghi sổ quỹ.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Mỗi chiều có một loại mặc định.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Phiếu lưu tên loại: đổi tên thì phiếu cũ đổi theo để thống kê không tách đôi.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5. Dữ liệu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007"/>
        <w:gridCol w:w="5222"/>
      </w:tblGrid>
      <w:tr>
        <w:trPr>
          <w:cantSplit/>
          <w:tblHeader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Trường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Kiểu / định dạng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Mô tả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code, name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Chuỗi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Mã (THU_KH, THU_KHAC, CHI_NCC, CHI_KHAC…) và tên.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kind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THU / CHI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Chiều.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partnerType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enum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KHACH_HANG, NHA_CUNG_CAP, KHAC.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isDefault, isActive, isSystem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Cờ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Mặc định, còn dùng, loại hệ thống.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6. Liên kết với chức năng khác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10"/>
        <w:gridCol w:w="7028"/>
      </w:tblGrid>
      <w:tr>
        <w:trPr>
          <w:cantSplit/>
          <w:tblHeader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Chức năng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Quan hệ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Phiếu thu chi (ATL-16)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Chọn loại khi lập phiếu; báo cáo Thu chi gom theo loại.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7. Trường hợp ngoại lệ &amp; thông báo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4"/>
        <w:gridCol w:w="6024"/>
      </w:tblGrid>
      <w:tr>
        <w:trPr>
          <w:cantSplit/>
          <w:tblHeader/>
        </w:trPr>
        <w:tc>
          <w:tcPr>
            <w:tcW w:type="dxa" w:w="36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Tình huống</w:t>
            </w:r>
          </w:p>
        </w:tc>
        <w:tc>
          <w:tcPr>
            <w:tcW w:type="dxa" w:w="60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Hệ thống xử lý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Sửa loại hệ thống</w:t>
            </w:r>
          </w:p>
        </w:tc>
        <w:tc>
          <w:tcPr>
            <w:tcW w:type="dxa" w:w="60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Giới hạn: không xoá, giữ chiều và đối tác.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8. Ghi chú &amp; giới hạn hiện tại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Báo cáo Thu chi có cách nhóm "Theo loại thu chi".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Hệ thống hiện chạy trên dữ liệu mô phỏng (mock) trong trình duyệt; các quy tắc dưới đây là hành vi đã cài đặt ở giao diện và sẽ ánh xạ 1:1 sang API backend.</w:t>
      </w:r>
    </w:p>
    <w:sectPr>
      <w:headerReference w:type="default" r:id="rId6"/>
      <w:footerReference w:type="default" r:id="rId7"/>
      <w:pgSz w:w="11906" w:h="16838" w:orient="portrait"/>
      <w:pgMar w:top="1300" w:right="1134" w:bottom="12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F7F7F"/>
        <w:sz w:val="17"/>
        <w:szCs w:val="17"/>
      </w:rPr>
      <w:t xml:space="preserve">Trang </w:t>
    </w:r>
    <w:r>
      <w:rPr>
        <w:rFonts w:ascii="Arial" w:cs="Arial" w:eastAsia="Arial" w:hAnsi="Arial"/>
        <w:color w:val="7F7F7F"/>
        <w:sz w:val="17"/>
        <w:szCs w:val="17"/>
      </w:rPr>
      <w:fldChar w:fldCharType="begin"/>
    </w:r>
    <w:r>
      <w:rPr>
        <w:rFonts w:ascii="Arial" w:cs="Arial" w:eastAsia="Arial" w:hAnsi="Arial"/>
        <w:color w:val="7F7F7F"/>
        <w:sz w:val="17"/>
        <w:szCs w:val="17"/>
      </w:rPr>
      <w:instrText xml:space="preserve">PAGE</w:instrText>
    </w:r>
    <w:r>
      <w:rPr>
        <w:rFonts w:ascii="Arial" w:cs="Arial" w:eastAsia="Arial" w:hAnsi="Arial"/>
        <w:color w:val="7F7F7F"/>
        <w:sz w:val="17"/>
        <w:szCs w:val="17"/>
      </w:rPr>
      <w:fldChar w:fldCharType="separate"/>
    </w:r>
    <w:r>
      <w:rPr>
        <w:rFonts w:ascii="Arial" w:cs="Arial" w:eastAsia="Arial" w:hAnsi="Arial"/>
        <w:color w:val="7F7F7F"/>
        <w:sz w:val="17"/>
        <w:szCs w:val="17"/>
      </w:rPr>
      <w:fldChar w:fldCharType="end"/>
    </w:r>
    <w:r>
      <w:rPr>
        <w:rFonts w:ascii="Arial" w:cs="Arial" w:eastAsia="Arial" w:hAnsi="Arial"/>
        <w:color w:val="7F7F7F"/>
        <w:sz w:val="17"/>
        <w:szCs w:val="17"/>
      </w:rPr>
      <w:t xml:space="preserve"> / </w:t>
    </w:r>
    <w:r>
      <w:rPr>
        <w:rFonts w:ascii="Arial" w:cs="Arial" w:eastAsia="Arial" w:hAnsi="Arial"/>
        <w:color w:val="7F7F7F"/>
        <w:sz w:val="17"/>
        <w:szCs w:val="17"/>
      </w:rPr>
      <w:fldChar w:fldCharType="begin"/>
    </w:r>
    <w:r>
      <w:rPr>
        <w:rFonts w:ascii="Arial" w:cs="Arial" w:eastAsia="Arial" w:hAnsi="Arial"/>
        <w:color w:val="7F7F7F"/>
        <w:sz w:val="17"/>
        <w:szCs w:val="17"/>
      </w:rPr>
      <w:instrText xml:space="preserve">NUMPAGES</w:instrText>
    </w:r>
    <w:r>
      <w:rPr>
        <w:rFonts w:ascii="Arial" w:cs="Arial" w:eastAsia="Arial" w:hAnsi="Arial"/>
        <w:color w:val="7F7F7F"/>
        <w:sz w:val="17"/>
        <w:szCs w:val="17"/>
      </w:rPr>
      <w:fldChar w:fldCharType="separate"/>
    </w:r>
    <w:r>
      <w:rPr>
        <w:rFonts w:ascii="Arial" w:cs="Arial" w:eastAsia="Arial" w:hAnsi="Arial"/>
        <w:color w:val="7F7F7F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A6A6A6" w:sz="6" w:space="2"/>
      </w:pBdr>
      <w:tabs>
        <w:tab w:val="right" w:pos="9638"/>
      </w:tabs>
    </w:pPr>
    <w:r>
      <w:rPr>
        <w:rFonts w:ascii="Arial" w:cs="Arial" w:eastAsia="Arial" w:hAnsi="Arial"/>
        <w:color w:val="7F7F7F"/>
        <w:sz w:val="17"/>
        <w:szCs w:val="17"/>
      </w:rPr>
      <w:t xml:space="preserve">Ninh Trang ERP — Tài liệu Atlas</w:t>
    </w:r>
    <w:r>
      <w:rPr>
        <w:rFonts w:ascii="Arial" w:cs="Arial" w:eastAsia="Arial" w:hAnsi="Arial"/>
        <w:color w:val="7F7F7F"/>
        <w:sz w:val="17"/>
        <w:szCs w:val="17"/>
      </w:rPr>
      <w:t xml:space="preserve">	ATL-18 · Loại thu chi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2F5496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ATL-18 — Loại thu chi</dc:title>
  <dc:creator>Ninh Trang ERP</dc:creator>
  <cp:lastModifiedBy>Un-named</cp:lastModifiedBy>
  <cp:revision>1</cp:revision>
  <dcterms:created xsi:type="dcterms:W3CDTF">2026-10-22T00:22:04.877Z</dcterms:created>
  <dcterms:modified xsi:type="dcterms:W3CDTF">2026-10-22T00:22:04.877Z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