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Phiếu in (khuôn in chung)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Hệ thống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Nút In ở các màn hình chứng từ và báo cáo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Một khuôn in duy nhất cho toàn hệ thống để mọi phiếu in gọn gàng, chuyên nghiệp và giống nhau: cùng tiêu đề công ty, cùng cách trình bày bảng, tổng tiền, khối chữ ký và chân trang. Màn hình chỉ cung cấp nội dung; không tự định kiểu giấy.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Mọi người dùng bấm nút In.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Theo quyền của chức năng chứa phiếu (xem ATL-23).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chứng từ / báo cáo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Bấm In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Trình duyệt hiện bản in A4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 hoặc lưu PDF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In trên phiếu kho, phiếu thu chi, đơn bán, đơn nhập, chuyến giao hàng, công nợ hoặc tuổi nợ.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Hệ thống ẩn menu, thanh trên và các nút; chỉ in phần phiếu.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Dựng phiếu theo khuôn: tiêu đề công ty, số phiếu, tiêu đề, thông tin, bảng, khối ký, chân trang.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Giấy luôn nền trắng chữ đen, kể cả khi màn hình đang ở giao diện tối.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Người dùng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máy in hoặc "Lưu thành PDF".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trang hiện ở chân trang dạng "Trang x / y".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Khổ A4 dọc, lề 14 / 12 / 16 / 16 mm; bảng nhiều cột (tuổi nợ) dùng A4 ngang.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Thông tin công ty và logo lấy từ Thiết lập › Thông tin công ty (ATL-20); đổi ở đó thì mọi phiếu đổi theo.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Phiếu đã huỷ luôn in dấu "ĐÃ HUỶ" cạnh số phiếu.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Muốn thêm phiếu in mới chỉ cần dùng khuôn chung, không viết lại kiểu in.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công ty (ATL-20)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Nguồn của tiêu đề và logo.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Các chức năng có nút In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kho, thu chi, đơn bán, đơn nhập, chuyến giao hàng, công nợ, tuổi nợ.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Cấu trúc một phiếu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7631"/>
      </w:tblGrid>
      <w:tr>
        <w:trPr>
          <w:cantSplit/>
          <w:tblHeader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Khối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Tiêu đề công ty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Logo (nếu có), tên công ty in hoa, các dòng có nhãn: Địa chỉ, Mã số thuế, Điện thoại, Email, Website (mục nào trống thì bỏ). Bên phải: "Số: …" và dấu "ĐÃ HUỶ" nếu có. Dưới cùng là đường kẻ đậm.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Tiêu đề phiếu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Căn giữa, in hoa, cỡ lớn; dưới là "Ngày … tháng … năm …" hoặc dòng phụ (kỳ đối chiếu, "Tính đến ngày …").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Khối thông tin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Khung hai cột nhãn – giá trị (kho, lý do, khách hàng, địa chỉ…) hoặc dạng điền thông tin có dòng chấm (phiếu thu / chi).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Bảng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Cột STT đầu tiên, tiêu đề tô nền nhạt, số căn phải, dòng tổng cộng tô nền; tiêu đề lặp lại khi bảng sang trang mới, dòng không bị cắt đôi giữa hai trang.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Tổng tiền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Tiền hàng, chiết khấu, thuế GTGT, Tổng thanh toán (dòng kẻ đôi) và "Bằng chữ".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Khối chữ ký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2–5 cột theo loại phiếu, kèm "(Ký, họ tên)"; tên người lập in dưới chỗ ký.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Chân trang</w:t>
            </w:r>
          </w:p>
        </w:tc>
        <w:tc>
          <w:tcPr>
            <w:tcW w:type="dxa" w:w="76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"In lúc dd/mm/yyyy hh:mm · tên người in" và tên công ty; số trang "Trang x / y".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Các phiếu đang dùng khuôn này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3413"/>
        <w:gridCol w:w="3214"/>
      </w:tblGrid>
      <w:tr>
        <w:trPr>
          <w:cantSplit/>
          <w:tblHeader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Phiếu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Ghi chú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nhập / xuất / chuyển kho, kiểm kê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kho (ATL-06)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 loại, khối ký riêng từng loại.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thu, Phiếu chi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thu chi (ATL-16)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Dạng điền thông tin, 5 chữ ký.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hàng bán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hàng bán (ATL-12)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Có chiết khấu, thuế, bằng chữ.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nhập hàng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nhập hàng (ATL-09)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Có thuế, bằng chữ.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soạn hàng, Phiếu giao hàng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Chuyến giao hàng (ATL-13)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Mỗi đơn một phiếu giao, một trang.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Biên bản đối chiếu công nợ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phải thu / phải trả (ATL-15, ATL-10)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Bên A / Bên B, ký đóng dấu.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cáo tuổi nợ</w:t>
            </w:r>
          </w:p>
        </w:tc>
        <w:tc>
          <w:tcPr>
            <w:tcW w:type="dxa" w:w="34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Tuổi nợ (ATL-19)</w:t>
            </w:r>
          </w:p>
        </w:tc>
        <w:tc>
          <w:tcPr>
            <w:tcW w:type="dxa" w:w="32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Khổ A4 ngang.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Đơn hàng bán và đơn nhập hàng trước đây in nguyên màn hình; nay có phiếu in riêng theo khuôn này.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ATL-26 · Phiếu in (khuôn in chung)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ATL-26 — Phiếu in (khuôn in chung)</dc:title>
  <dc:creator>Ninh Trang ERP</dc:creator>
  <cp:lastModifiedBy>Un-named</cp:lastModifiedBy>
  <cp:revision>1</cp:revision>
  <dcterms:created xsi:type="dcterms:W3CDTF">2026-10-22T00:22:05.117Z</dcterms:created>
  <dcterms:modified xsi:type="dcterms:W3CDTF">2026-10-22T00:22:05.117Z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