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기출(2026 9월 모평 23번)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writing a life, the life narrator and the biographer engage different kinds of evidence. </w:t>
            </w:r>
            <w:r>
              <w:rPr>
                <w:rFonts w:ascii="Malgun Gothic" w:cs="Malgun Gothic" w:eastAsia="Malgun Gothic" w:hAnsi="Malgun Gothic"/>
                <w:sz w:val="18"/>
                <w:szCs w:val="18"/>
              </w:rPr>
              <w:t xml:space="preserve">Most biographers incorporate multiple forms of evidence, including historical documents, interviews, and family archives, </w:t>
            </w:r>
            <w:r>
              <w:rPr>
                <w:rFonts w:ascii="Malgun Gothic" w:cs="Malgun Gothic" w:eastAsia="Malgun Gothic" w:hAnsi="Malgun Gothic"/>
                <w:b w:val="false"/>
                <w:bCs w:val="false"/>
                <w:sz w:val="18"/>
                <w:szCs w:val="18"/>
                <w:u w:val="single"/>
              </w:rPr>
              <w:t xml:space="preserve">(A) which they evaluate</w:t>
            </w:r>
            <w:r>
              <w:rPr>
                <w:rFonts w:ascii="Malgun Gothic" w:cs="Malgun Gothic" w:eastAsia="Malgun Gothic" w:hAnsi="Malgun Gothic"/>
                <w:sz w:val="18"/>
                <w:szCs w:val="18"/>
              </w:rPr>
              <w:t xml:space="preserve"> for validity. </w:t>
            </w:r>
            <w:r>
              <w:rPr>
                <w:rFonts w:ascii="Malgun Gothic" w:cs="Malgun Gothic" w:eastAsia="Malgun Gothic" w:hAnsi="Malgun Gothic"/>
                <w:sz w:val="18"/>
                <w:szCs w:val="18"/>
              </w:rPr>
              <w:t xml:space="preserve">Relatively few biographers use their personal memories of their subject as reliable evidence, </w:t>
            </w:r>
            <w:r>
              <w:rPr>
                <w:rFonts w:ascii="Malgun Gothic" w:cs="Malgun Gothic" w:eastAsia="Malgun Gothic" w:hAnsi="Malgun Gothic"/>
                <w:b w:val="false"/>
                <w:bCs w:val="false"/>
                <w:sz w:val="18"/>
                <w:szCs w:val="18"/>
                <w:u w:val="single"/>
              </w:rPr>
              <w:t xml:space="preserve">(B) unless they had</w:t>
            </w:r>
            <w:r>
              <w:rPr>
                <w:rFonts w:ascii="Malgun Gothic" w:cs="Malgun Gothic" w:eastAsia="Malgun Gothic" w:hAnsi="Malgun Gothic"/>
                <w:sz w:val="18"/>
                <w:szCs w:val="18"/>
              </w:rPr>
              <w:t xml:space="preserve"> a personal relationship to the subject of the biography (as a relative, child, friend, or colleague). </w:t>
            </w:r>
            <w:r>
              <w:rPr>
                <w:rFonts w:ascii="Malgun Gothic" w:cs="Malgun Gothic" w:eastAsia="Malgun Gothic" w:hAnsi="Malgun Gothic"/>
                <w:sz w:val="18"/>
                <w:szCs w:val="18"/>
              </w:rPr>
              <w:t xml:space="preserve">For life narrators, by contrast, personal memories </w:t>
            </w:r>
            <w:r>
              <w:rPr>
                <w:rFonts w:ascii="Malgun Gothic" w:cs="Malgun Gothic" w:eastAsia="Malgun Gothic" w:hAnsi="Malgun Gothic"/>
                <w:b w:val="false"/>
                <w:bCs w:val="false"/>
                <w:sz w:val="18"/>
                <w:szCs w:val="18"/>
                <w:u w:val="single"/>
              </w:rPr>
              <w:t xml:space="preserve">(C) is the primary</w:t>
            </w:r>
            <w:r>
              <w:rPr>
                <w:rFonts w:ascii="Malgun Gothic" w:cs="Malgun Gothic" w:eastAsia="Malgun Gothic" w:hAnsi="Malgun Gothic"/>
                <w:sz w:val="18"/>
                <w:szCs w:val="18"/>
              </w:rPr>
              <w:t xml:space="preserve"> archival source. </w:t>
            </w:r>
            <w:r>
              <w:rPr>
                <w:rFonts w:ascii="Malgun Gothic" w:cs="Malgun Gothic" w:eastAsia="Malgun Gothic" w:hAnsi="Malgun Gothic"/>
                <w:sz w:val="18"/>
                <w:szCs w:val="18"/>
              </w:rPr>
              <w:t xml:space="preserve">They may have recourse to other kinds of sources — letters, journals, photographs, conversations — and to their knowledge of a historical moment. </w:t>
            </w:r>
            <w:r>
              <w:rPr>
                <w:rFonts w:ascii="Malgun Gothic" w:cs="Malgun Gothic" w:eastAsia="Malgun Gothic" w:hAnsi="Malgun Gothic"/>
                <w:sz w:val="18"/>
                <w:szCs w:val="18"/>
              </w:rPr>
              <w:t xml:space="preserve">But the usefulness of such evidence for their stories lies in the ways </w:t>
            </w:r>
            <w:r>
              <w:rPr>
                <w:rFonts w:ascii="Malgun Gothic" w:cs="Malgun Gothic" w:eastAsia="Malgun Gothic" w:hAnsi="Malgun Gothic"/>
                <w:b w:val="false"/>
                <w:bCs w:val="false"/>
                <w:sz w:val="18"/>
                <w:szCs w:val="18"/>
                <w:u w:val="single"/>
              </w:rPr>
              <w:t xml:space="preserve">(D) in which they employ</w:t>
            </w:r>
            <w:r>
              <w:rPr>
                <w:rFonts w:ascii="Malgun Gothic" w:cs="Malgun Gothic" w:eastAsia="Malgun Gothic" w:hAnsi="Malgun Gothic"/>
                <w:sz w:val="18"/>
                <w:szCs w:val="18"/>
              </w:rPr>
              <w:t xml:space="preserve"> that evidence to support, supplement, or offer commentary on their personalized acts of remembering. </w:t>
            </w:r>
            <w:r>
              <w:rPr>
                <w:rFonts w:ascii="Malgun Gothic" w:cs="Malgun Gothic" w:eastAsia="Malgun Gothic" w:hAnsi="Malgun Gothic"/>
                <w:sz w:val="18"/>
                <w:szCs w:val="18"/>
              </w:rPr>
              <w:t xml:space="preserve">In autobiographical narratives, imaginative acts of remembering always overlap with </w:t>
            </w:r>
            <w:r>
              <w:rPr>
                <w:rFonts w:ascii="Malgun Gothic" w:cs="Malgun Gothic" w:eastAsia="Malgun Gothic" w:hAnsi="Malgun Gothic"/>
                <w:b w:val="false"/>
                <w:bCs w:val="false"/>
                <w:sz w:val="18"/>
                <w:szCs w:val="18"/>
                <w:u w:val="single"/>
              </w:rPr>
              <w:t xml:space="preserve">(E) such rhetorical acts as</w:t>
            </w:r>
            <w:r>
              <w:rPr>
                <w:rFonts w:ascii="Malgun Gothic" w:cs="Malgun Gothic" w:eastAsia="Malgun Gothic" w:hAnsi="Malgun Gothic"/>
                <w:sz w:val="18"/>
                <w:szCs w:val="18"/>
              </w:rPr>
              <w:t xml:space="preserve"> assertion, justification, judgment, conviction, and questioning.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Memory as Evidence: What Sets Life Narrators Apart from Biographers</w:t>
      </w:r>
    </w:p>
    <w:p>
      <w:pPr>
        <w:spacing w:after="10" w:line="240"/>
        <w:ind w:left="280"/>
      </w:pPr>
      <w:r>
        <w:rPr>
          <w:rFonts w:ascii="Malgun Gothic" w:cs="Malgun Gothic" w:eastAsia="Malgun Gothic" w:hAnsi="Malgun Gothic"/>
          <w:sz w:val="18"/>
          <w:szCs w:val="18"/>
        </w:rPr>
        <w:t xml:space="preserve">② How to Interview Relatives for a Family History</w:t>
      </w:r>
    </w:p>
    <w:p>
      <w:pPr>
        <w:spacing w:after="10" w:line="240"/>
        <w:ind w:left="280"/>
      </w:pPr>
      <w:r>
        <w:rPr>
          <w:rFonts w:ascii="Malgun Gothic" w:cs="Malgun Gothic" w:eastAsia="Malgun Gothic" w:hAnsi="Malgun Gothic"/>
          <w:sz w:val="18"/>
          <w:szCs w:val="18"/>
        </w:rPr>
        <w:t xml:space="preserve">③ Why Biographies Are More Accurate Than Autobiographies</w:t>
      </w:r>
    </w:p>
    <w:p>
      <w:pPr>
        <w:spacing w:after="10" w:line="240"/>
        <w:ind w:left="280"/>
      </w:pPr>
      <w:r>
        <w:rPr>
          <w:rFonts w:ascii="Malgun Gothic" w:cs="Malgun Gothic" w:eastAsia="Malgun Gothic" w:hAnsi="Malgun Gothic"/>
          <w:sz w:val="18"/>
          <w:szCs w:val="18"/>
        </w:rPr>
        <w:t xml:space="preserve">④ The Lost Art of Letter Writing</w:t>
      </w:r>
    </w:p>
    <w:p>
      <w:pPr>
        <w:spacing w:after="10" w:line="240"/>
        <w:ind w:left="280"/>
      </w:pPr>
      <w:r>
        <w:rPr>
          <w:rFonts w:ascii="Malgun Gothic" w:cs="Malgun Gothic" w:eastAsia="Malgun Gothic" w:hAnsi="Malgun Gothic"/>
          <w:sz w:val="18"/>
          <w:szCs w:val="18"/>
        </w:rPr>
        <w:t xml:space="preserve">⑤ Historical Documents: The Only Trustworthy Source</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tabs>
          <w:tab w:val="left" w:pos="5200"/>
        </w:tabs>
        <w:spacing w:after="10" w:line="240"/>
        <w:ind w:left="280"/>
      </w:pPr>
      <w:r>
        <w:rPr>
          <w:rFonts w:ascii="Malgun Gothic" w:cs="Malgun Gothic" w:eastAsia="Malgun Gothic" w:hAnsi="Malgun Gothic"/>
          <w:sz w:val="18"/>
          <w:szCs w:val="18"/>
        </w:rPr>
        <w:t xml:space="preserve">① 전기 작가와 생애 서술자가 증거를 다루는 방식의 차이</w:t>
      </w:r>
      <w:r>
        <w:rPr>
          <w:rFonts w:ascii="Malgun Gothic" w:cs="Malgun Gothic" w:eastAsia="Malgun Gothic" w:hAnsi="Malgun Gothic"/>
          <w:sz w:val="18"/>
          <w:szCs w:val="18"/>
        </w:rPr>
        <w:t xml:space="preserve">	② 전기를 쓸 때 가족 기록을 확보하는 방법</w:t>
      </w:r>
    </w:p>
    <w:p>
      <w:pPr>
        <w:tabs>
          <w:tab w:val="left" w:pos="5200"/>
        </w:tabs>
        <w:spacing w:after="10" w:line="240"/>
        <w:ind w:left="280"/>
      </w:pPr>
      <w:r>
        <w:rPr>
          <w:rFonts w:ascii="Malgun Gothic" w:cs="Malgun Gothic" w:eastAsia="Malgun Gothic" w:hAnsi="Malgun Gothic"/>
          <w:sz w:val="18"/>
          <w:szCs w:val="18"/>
        </w:rPr>
        <w:t xml:space="preserve">③ 자서전이 역사 자료로서 갖는 한계</w:t>
      </w:r>
      <w:r>
        <w:rPr>
          <w:rFonts w:ascii="Malgun Gothic" w:cs="Malgun Gothic" w:eastAsia="Malgun Gothic" w:hAnsi="Malgun Gothic"/>
          <w:sz w:val="18"/>
          <w:szCs w:val="18"/>
        </w:rPr>
        <w:t xml:space="preserve">	④ 전기 작가가 인터뷰 대상을 선정하는 기준</w:t>
      </w:r>
    </w:p>
    <w:p>
      <w:pPr>
        <w:tabs>
          <w:tab w:val="left" w:pos="5200"/>
        </w:tabs>
        <w:spacing w:after="10" w:line="240"/>
        <w:ind w:left="280"/>
      </w:pPr>
      <w:r>
        <w:rPr>
          <w:rFonts w:ascii="Malgun Gothic" w:cs="Malgun Gothic" w:eastAsia="Malgun Gothic" w:hAnsi="Malgun Gothic"/>
          <w:sz w:val="18"/>
          <w:szCs w:val="18"/>
        </w:rPr>
        <w:t xml:space="preserve">⑤ 기억의 왜곡을 줄이는 심리학적 기법</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But the usefulness of such evidence for their stories lies in the ways in which they employ that evidence to ______________________________.</w:t>
            </w:r>
          </w:p>
        </w:tc>
      </w:tr>
    </w:tbl>
    <w:p>
      <w:pPr>
        <w:spacing w:after="10" w:line="240"/>
        <w:ind w:left="280"/>
      </w:pPr>
      <w:r>
        <w:rPr>
          <w:rFonts w:ascii="Malgun Gothic" w:cs="Malgun Gothic" w:eastAsia="Malgun Gothic" w:hAnsi="Malgun Gothic"/>
          <w:sz w:val="18"/>
          <w:szCs w:val="18"/>
        </w:rPr>
        <w:t xml:space="preserve">① support, supplement, or offer commentary on their personalized acts of remembering</w:t>
      </w:r>
    </w:p>
    <w:p>
      <w:pPr>
        <w:spacing w:after="10" w:line="240"/>
        <w:ind w:left="280"/>
      </w:pPr>
      <w:r>
        <w:rPr>
          <w:rFonts w:ascii="Malgun Gothic" w:cs="Malgun Gothic" w:eastAsia="Malgun Gothic" w:hAnsi="Malgun Gothic"/>
          <w:sz w:val="18"/>
          <w:szCs w:val="18"/>
        </w:rPr>
        <w:t xml:space="preserve">② replace their own memories with official records</w:t>
      </w:r>
    </w:p>
    <w:p>
      <w:pPr>
        <w:spacing w:after="10" w:line="240"/>
        <w:ind w:left="280"/>
      </w:pPr>
      <w:r>
        <w:rPr>
          <w:rFonts w:ascii="Malgun Gothic" w:cs="Malgun Gothic" w:eastAsia="Malgun Gothic" w:hAnsi="Malgun Gothic"/>
          <w:sz w:val="18"/>
          <w:szCs w:val="18"/>
        </w:rPr>
        <w:t xml:space="preserve">③ prove that the biographer's version is wrong</w:t>
      </w:r>
    </w:p>
    <w:p>
      <w:pPr>
        <w:spacing w:after="10" w:line="240"/>
        <w:ind w:left="280"/>
      </w:pPr>
      <w:r>
        <w:rPr>
          <w:rFonts w:ascii="Malgun Gothic" w:cs="Malgun Gothic" w:eastAsia="Malgun Gothic" w:hAnsi="Malgun Gothic"/>
          <w:sz w:val="18"/>
          <w:szCs w:val="18"/>
        </w:rPr>
        <w:t xml:space="preserve">④ entertain readers with surprising historical facts</w:t>
      </w:r>
    </w:p>
    <w:p>
      <w:pPr>
        <w:spacing w:after="10" w:line="240"/>
        <w:ind w:left="280"/>
      </w:pPr>
      <w:r>
        <w:rPr>
          <w:rFonts w:ascii="Malgun Gothic" w:cs="Malgun Gothic" w:eastAsia="Malgun Gothic" w:hAnsi="Malgun Gothic"/>
          <w:sz w:val="18"/>
          <w:szCs w:val="18"/>
        </w:rPr>
        <w:t xml:space="preserve">⑤ avoid any personal judgment or questioning</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Biographers draw on ① </w:t>
            </w:r>
            <w:r>
              <w:rPr>
                <w:rFonts w:ascii="Malgun Gothic" w:cs="Malgun Gothic" w:eastAsia="Malgun Gothic" w:hAnsi="Malgun Gothic"/>
                <w:b w:val="false"/>
                <w:bCs w:val="false"/>
                <w:sz w:val="18"/>
                <w:szCs w:val="18"/>
                <w:u w:val="single"/>
              </w:rPr>
              <w:t xml:space="preserve">multiple</w:t>
            </w:r>
            <w:r>
              <w:rPr>
                <w:rFonts w:ascii="Malgun Gothic" w:cs="Malgun Gothic" w:eastAsia="Malgun Gothic" w:hAnsi="Malgun Gothic"/>
                <w:sz w:val="18"/>
                <w:szCs w:val="18"/>
              </w:rPr>
              <w:t xml:space="preserve"> kinds of evidence that they check for validity and ② </w:t>
            </w:r>
            <w:r>
              <w:rPr>
                <w:rFonts w:ascii="Malgun Gothic" w:cs="Malgun Gothic" w:eastAsia="Malgun Gothic" w:hAnsi="Malgun Gothic"/>
                <w:b w:val="false"/>
                <w:bCs w:val="false"/>
                <w:sz w:val="18"/>
                <w:szCs w:val="18"/>
                <w:u w:val="single"/>
              </w:rPr>
              <w:t xml:space="preserve">rarely</w:t>
            </w:r>
            <w:r>
              <w:rPr>
                <w:rFonts w:ascii="Malgun Gothic" w:cs="Malgun Gothic" w:eastAsia="Malgun Gothic" w:hAnsi="Malgun Gothic"/>
                <w:sz w:val="18"/>
                <w:szCs w:val="18"/>
              </w:rPr>
              <w:t xml:space="preserve"> treat their own memories as reliable, whereas life narrators make personal memory their ③ </w:t>
            </w:r>
            <w:r>
              <w:rPr>
                <w:rFonts w:ascii="Malgun Gothic" w:cs="Malgun Gothic" w:eastAsia="Malgun Gothic" w:hAnsi="Malgun Gothic"/>
                <w:b w:val="false"/>
                <w:bCs w:val="false"/>
                <w:sz w:val="18"/>
                <w:szCs w:val="18"/>
                <w:u w:val="single"/>
              </w:rPr>
              <w:t xml:space="preserve">primary</w:t>
            </w:r>
            <w:r>
              <w:rPr>
                <w:rFonts w:ascii="Malgun Gothic" w:cs="Malgun Gothic" w:eastAsia="Malgun Gothic" w:hAnsi="Malgun Gothic"/>
                <w:sz w:val="18"/>
                <w:szCs w:val="18"/>
              </w:rPr>
              <w:t xml:space="preserve"> source and use letters or journals mainly to ④ </w:t>
            </w:r>
            <w:r>
              <w:rPr>
                <w:rFonts w:ascii="Malgun Gothic" w:cs="Malgun Gothic" w:eastAsia="Malgun Gothic" w:hAnsi="Malgun Gothic"/>
                <w:b w:val="false"/>
                <w:bCs w:val="false"/>
                <w:sz w:val="18"/>
                <w:szCs w:val="18"/>
                <w:u w:val="single"/>
              </w:rPr>
              <w:t xml:space="preserve">undermine</w:t>
            </w:r>
            <w:r>
              <w:rPr>
                <w:rFonts w:ascii="Malgun Gothic" w:cs="Malgun Gothic" w:eastAsia="Malgun Gothic" w:hAnsi="Malgun Gothic"/>
                <w:sz w:val="18"/>
                <w:szCs w:val="18"/>
              </w:rPr>
              <w:t xml:space="preserve"> their acts of remembering, which are always ⑤ </w:t>
            </w:r>
            <w:r>
              <w:rPr>
                <w:rFonts w:ascii="Malgun Gothic" w:cs="Malgun Gothic" w:eastAsia="Malgun Gothic" w:hAnsi="Malgun Gothic"/>
                <w:b w:val="false"/>
                <w:bCs w:val="false"/>
                <w:sz w:val="18"/>
                <w:szCs w:val="18"/>
                <w:u w:val="single"/>
              </w:rPr>
              <w:t xml:space="preserve">intertwined</w:t>
            </w:r>
            <w:r>
              <w:rPr>
                <w:rFonts w:ascii="Malgun Gothic" w:cs="Malgun Gothic" w:eastAsia="Malgun Gothic" w:hAnsi="Malgun Gothic"/>
                <w:sz w:val="18"/>
                <w:szCs w:val="18"/>
              </w:rPr>
              <w:t xml:space="preserve"> with assertion, judgment, and questioning.</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writing a life, the life narrator and the biographer engage different kinds of evidence. ① Most biographers incorporate multiple forms of evidence, including historical documents, interviews, and family archives, which they evaluate for validity. ② Relatively few biographers use their personal memories of their subject as reliable evidence, unless they had a personal relationship to the subject of the biography (as a relative, child, friend, or colleague). ③ Publishers often ask biographers to shorten their manuscripts to reduce printing costs. ④ For life narrators, by contrast, personal memories are the primary archival source. ⑤ They may have recourse to other kinds of sources — letters, journals, photographs, conversations — and to their knowledge of a historical moment.</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writing a life, the life narrator and the biographer engage different kinds of evidence.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For life narrators, by contrast, personal memories are the primary archival source. They may have recourse to other kinds of sources — letters, journals, photographs, conversations — and to their knowledge of a historical moment.</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Most biographers incorporate multiple forms of evidence, including historical documents, interviews, and family archives, which they evaluate for validity. Relatively few biographers use their personal memories of their subject as reliable evidence, unless they had a personal relationship to the subject of the biography (as a relative, child, friend, or colleague).</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But the usefulness of such evidence for their stories lies in the ways in which they employ that evidence to support, supplement, or offer commentary on their personalized acts of remembering. In autobiographical narratives, imaginative acts of remembering always overlap with such rhetorical acts as assertion, justification, judgment, conviction, and questioning.</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For life narrators, by contrast, personal memories are the primary archival source.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writing a life, the life narrator and the biographer engage different kinds of evidence. ( ① ) Most biographers incorporate multiple forms of evidence, including historical documents, interviews, and family archives, which they evaluate for validity. ( ② ) Relatively few biographers use their personal memories of their subject as reliable evidence, unless they had a personal relationship to the subject of the biography (as a relative, child, friend, or colleague). ( ③ ) They may have recourse to other kinds of sources — letters, journals, photographs, conversations — and to their knowledge of a historical moment. ( ④ ) But the usefulness of such evidence for their stories lies in the ways in which they employ that evidence to support, supplement, or offer commentary on their personalized acts of remembering. ( ⑤ ) In autobiographical narratives, imaginative acts of remembering always overlap with such rhetorical acts as assertion, justification, judgment, conviction, and questioning.</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While biographers rely on externally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documents and seldom on their own memories, life narrators build their accounts on personal memory and treat other sources as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to that remembering.</w:t>
            </w:r>
          </w:p>
        </w:tc>
      </w:tr>
    </w:tbl>
    <w:p>
      <w:pPr>
        <w:tabs>
          <w:tab w:val="left" w:pos="5200"/>
        </w:tabs>
        <w:spacing w:after="10" w:line="240"/>
        <w:ind w:left="280"/>
      </w:pPr>
      <w:r>
        <w:rPr>
          <w:rFonts w:ascii="Malgun Gothic" w:cs="Malgun Gothic" w:eastAsia="Malgun Gothic" w:hAnsi="Malgun Gothic"/>
          <w:sz w:val="18"/>
          <w:szCs w:val="18"/>
        </w:rPr>
        <w:t xml:space="preserve">① (A) verified … (B) secondary</w:t>
      </w:r>
      <w:r>
        <w:rPr>
          <w:rFonts w:ascii="Malgun Gothic" w:cs="Malgun Gothic" w:eastAsia="Malgun Gothic" w:hAnsi="Malgun Gothic"/>
          <w:sz w:val="18"/>
          <w:szCs w:val="18"/>
        </w:rPr>
        <w:t xml:space="preserve">	② (A) verified … (B) superior</w:t>
      </w:r>
    </w:p>
    <w:p>
      <w:pPr>
        <w:tabs>
          <w:tab w:val="left" w:pos="5200"/>
        </w:tabs>
        <w:spacing w:after="10" w:line="240"/>
        <w:ind w:left="280"/>
      </w:pPr>
      <w:r>
        <w:rPr>
          <w:rFonts w:ascii="Malgun Gothic" w:cs="Malgun Gothic" w:eastAsia="Malgun Gothic" w:hAnsi="Malgun Gothic"/>
          <w:sz w:val="18"/>
          <w:szCs w:val="18"/>
        </w:rPr>
        <w:t xml:space="preserve">③ (A) invented … (B) secondary</w:t>
      </w:r>
      <w:r>
        <w:rPr>
          <w:rFonts w:ascii="Malgun Gothic" w:cs="Malgun Gothic" w:eastAsia="Malgun Gothic" w:hAnsi="Malgun Gothic"/>
          <w:sz w:val="18"/>
          <w:szCs w:val="18"/>
        </w:rPr>
        <w:t xml:space="preserve">	④ (A) invented … (B) irrelevant</w:t>
      </w:r>
    </w:p>
    <w:p>
      <w:pPr>
        <w:tabs>
          <w:tab w:val="left" w:pos="5200"/>
        </w:tabs>
        <w:spacing w:after="10" w:line="240"/>
        <w:ind w:left="280"/>
      </w:pPr>
      <w:r>
        <w:rPr>
          <w:rFonts w:ascii="Malgun Gothic" w:cs="Malgun Gothic" w:eastAsia="Malgun Gothic" w:hAnsi="Malgun Gothic"/>
          <w:sz w:val="18"/>
          <w:szCs w:val="18"/>
        </w:rPr>
        <w:t xml:space="preserve">⑤ (A) forgotten … (B) central</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상대적으로 적은 수의 전기 작가들만이, 전기의 대상과 개인적 관계가 있었던 경우가 아니라면, 그 대상에 대한 자신의 개인적 기억을 신뢰할 만한 증거로 사용한다.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relatively few biographers / use / their personal memories / of their subject / as reliable evidence / unless / they / had / a personal relationship / to the subject of the biography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기출(2026 9월 모평 23번)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Relatively few biographers use their personal memories of their subject as reliable evidence, unless they had a personal relationship to the subject of the biography.</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한 사람의 생애를 글로 쓸 때, 생애 서술자와 전기 작가는 서로 다른 종류의 증거를 사용한다. ❷ 대부분의 전기 작가는 역사적 문서, 인터뷰, 가족 기록물을 포함한 여러 형태의 증거를 통합하는데, 그들은 그것들의 타당성을 평가한다. ❸ 전기의 대상과 (친척, 자녀, 친구, 또는 동료로서) 개인적인 관계가 있었던 경우가 아니라면, 전기 작가가 자기 대상에 대한 자신의 개인적 기억을 믿을 만한 증거로 쓰는 일은 비교적 드물다. ❹ 반면에 생애 서술자에게는 개인적 기억이 주된 기록물 출처이다. ❺ 그들은 편지, 일기, 사진, 대화 같은 다른 종류의 자료에, 그리고 어떤 역사적 순간에 대한 자신의 지식에 의지할 수도 있다. ❻ 그러나 그러한 증거가 그들의 이야기에 지니는 유용성은, 그들이 그 증거를 사용하여 자신의 개인화된 기억 행위를 뒷받침하거나, 보완하거나, 그것에 대한 해설을 제공하는 방식에 있다. ❼ 자서전적인 서술에서는, 기억을 떠올리는 상상적 행위가 항상 단언, 정당화, 판단, 확신, 의문 제기와 같은 수사적 행위와 겹친다.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전기 작가는 문서·인터뷰·기록을 증거로 쓰고 개인적 기억은 거의 쓰지 않지만(❶~❸), 생애 서술자(자서전 작가)는 개인적 기억이 일차 자료이고 다른 자료는 기억을 뒷받침하는 데 쓴다(❹~❼). 두 글쓰기의 차이를 '기억이라는 증거'로 잡은 ①. ③·⑤는 글이 우열을 가리지 않으므로 부적절, ②·④는 무관.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❶ the life narrator and the biographer engage different kinds of evidence 가 주제문. 이후 전기 작가(❷~❸)와 생애 서술자(❹~❼)의 증거 사용을 대조. ③은 글의 일부 함의일 뿐 주제가 아니고, ②·④·⑤는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❹ 생애 서술자에게 개인적 기억이 일차 자료라고 했으므로, 편지·일기 같은 다른 증거는 기억을 '뒷받침·보충·논평'하는 데 쓰인다는 ①. ②는 기억을 대체한다는 뜻이라 반대, ⑤는 ❼(주장·판단·질문과 겹친다)과 모순.</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is the primary → are the primary. 주어 personal memories(복수). (A) 콤마 뒤 계속적 which(= multiple forms of evidence) + evaluate의 목적어 ○. (B) unless(~하지 않는 한) + 과거 had ○. (D) 전치사 + 관계대명사 in which(the ways in which) ○. (E) such A as B(B와 같은 A)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❻ 생애 서술자는 다른 증거를 기억을 support, supplement, or offer commentary on 하는 데 쓴다. 따라서 ④ undermine(약화하다) → support. ① multiple(❷), ② rarely(❸ Relatively few), ③ primary(❹), ⑤ intertwined(❼ overlap with)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❶ 두 서술자는 다른 증거를 쓴다 → ❷ 전기 작가의 다양한 증거 → ❸ 개인적 기억은 거의 안 씀 → ❹ by contrast 생애 서술자는 기억이 일차 자료 → ❺ 다른 자료도 참고. ③(출판사의 분량 요구)은 증거의 종류와 무관.</w:t>
      </w:r>
    </w:p>
    <w:p>
      <w:pPr>
        <w:spacing w:after="30" w:line="250"/>
        <w:jc w:val="both"/>
      </w:pPr>
      <w:r>
        <w:rPr>
          <w:rFonts w:ascii="Malgun Gothic" w:cs="Malgun Gothic" w:eastAsia="Malgun Gothic" w:hAnsi="Malgun Gothic"/>
          <w:b/>
          <w:bCs/>
          <w:color w:val="1F3864"/>
          <w:sz w:val="18"/>
          <w:szCs w:val="18"/>
        </w:rPr>
        <w:t xml:space="preserve">7번 [순서] 정답 ②  </w:t>
      </w:r>
      <w:r>
        <w:rPr>
          <w:rFonts w:ascii="Malgun Gothic" w:cs="Malgun Gothic" w:eastAsia="Malgun Gothic" w:hAnsi="Malgun Gothic"/>
          <w:sz w:val="18"/>
          <w:szCs w:val="18"/>
        </w:rPr>
        <w:t xml:space="preserve">주어진 글(두 서술자는 다른 증거를 쓴다) → (B) Most biographers 전기 작가의 증거 + 개인적 기억은 거의 안 씀 → (A) For life narrators, by contrast 기억이 일차 자료 + 다른 자료도 참고 → (C) But 그 자료의 유용성은 기억을 뒷받침하는 방식에 있다 + 자서전에서 기억은 수사적 행위와 겹친다. 단서: (A)의 by contrast는 (B)의 전기 작가와 대조, (C)의 such evidence는 (A)의 letters, journals 등.</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For life narrators, by contrast, personal memories are the primary archival source는 전기 작가가 개인적 기억을 거의 안 쓴다는 ❸과 대조를 이루며, 뒤 문장 ❺ They may have recourse to other kinds of sources의 They가 life narrators여야 한다. 따라서 ❸ 뒤 ③.</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which they evaluate for validity → 외부에서 '검증된(verified)' 문서. (B) 생애 서술자에게 다른 자료는 기억을 뒷받침하는 '이차적(secondary)' 것. ② superior·⑤ central은 반대, ③·④ invented는 사실과 다름.</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Relatively few biographers use — few + 복수 명사 + 복수 동사 ② use A as B(A를 B로 사용하다) ③ unless(~하지 않는 한) 절의 어순. as 누락이나 unless를 if로 바꾸면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life narrator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생애 서술자(자서전 작가)</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validity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타당성</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biographer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전기 작가</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have recourse to</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의지하다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engage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(증거를) 다루다, 동원하다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supplement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보충하다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incorporate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포함하다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commentary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논평</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archive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기록 보관소, 기록물</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rhetorical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수사적인</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2026-10-14T05:25:21.938Z</dcterms:created>
  <dcterms:modified xsi:type="dcterms:W3CDTF">2026-10-14T05:25:21.938Z</dcterms:modified>
</cp:coreProperties>
</file>

<file path=docProps/custom.xml><?xml version="1.0" encoding="utf-8"?>
<Properties xmlns="http://schemas.openxmlformats.org/officeDocument/2006/custom-properties" xmlns:vt="http://schemas.openxmlformats.org/officeDocument/2006/docPropsVTypes"/>
</file>