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H1MOGO26-10_35</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Burnout as a Structural Issue · 2026년 고1 10월 학력평가 35번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00" w:lineRule="auto"/>
        <w:jc w:val="both"/>
        <w:snapToGrid w:val="0"/>
      </w:pPr>
      <w:r>
        <w:rPr>
          <w:rFonts w:ascii="맑은 고딕" w:hAnsi="맑은 고딕" w:eastAsia="맑은 고딕"/>
          <w:b w:val="0"/>
          <w:sz w:val="17"/>
          <w:u w:val="none"/>
        </w:rPr>
        <w:t xml:space="preserve">The </w:t>
      </w:r>
      <w:r>
        <w:rPr>
          <w:rFonts w:ascii="맑은 고딕" w:hAnsi="맑은 고딕" w:eastAsia="맑은 고딕"/>
          <w:b/>
          <w:color w:val="C01F1F"/>
          <w:sz w:val="17"/>
          <w:u w:val="none"/>
          <w:vertAlign w:val="superscript"/>
        </w:rPr>
        <w:t>1)</w:t>
      </w:r>
      <w:r>
        <w:rPr>
          <w:rFonts w:ascii="맑은 고딕" w:hAnsi="맑은 고딕" w:eastAsia="맑은 고딕"/>
          <w:b w:val="0"/>
          <w:sz w:val="17"/>
          <w:u w:val="none"/>
        </w:rPr>
        <w:t xml:space="preserve">r________ of burnout as an </w:t>
      </w:r>
      <w:r>
        <w:rPr>
          <w:rFonts w:ascii="맑은 고딕" w:hAnsi="맑은 고딕" w:eastAsia="맑은 고딕"/>
          <w:b/>
          <w:color w:val="C01F1F"/>
          <w:sz w:val="17"/>
          <w:u w:val="none"/>
          <w:vertAlign w:val="superscript"/>
        </w:rPr>
        <w:t>2)</w:t>
      </w:r>
      <w:r>
        <w:rPr>
          <w:rFonts w:ascii="맑은 고딕" w:hAnsi="맑은 고딕" w:eastAsia="맑은 고딕"/>
          <w:b w:val="0"/>
          <w:sz w:val="17"/>
          <w:u w:val="none"/>
        </w:rPr>
        <w:t xml:space="preserve">________(occupation) phenomenon by the WHO in 2019 </w:t>
      </w:r>
      <w:r>
        <w:rPr>
          <w:rFonts w:ascii="맑은 고딕" w:hAnsi="맑은 고딕" w:eastAsia="맑은 고딕"/>
          <w:b/>
          <w:color w:val="C01F1F"/>
          <w:sz w:val="17"/>
          <w:u w:val="none"/>
          <w:vertAlign w:val="superscript"/>
        </w:rPr>
        <w:t>3)</w:t>
      </w:r>
      <w:r>
        <w:rPr>
          <w:rFonts w:ascii="맑은 고딕" w:hAnsi="맑은 고딕" w:eastAsia="맑은 고딕"/>
          <w:b/>
          <w:sz w:val="17"/>
          <w:u w:val="none"/>
        </w:rPr>
        <w:t>[ marked / marks ]</w:t>
      </w:r>
      <w:r>
        <w:rPr>
          <w:rFonts w:ascii="맑은 고딕" w:hAnsi="맑은 고딕" w:eastAsia="맑은 고딕"/>
          <w:b w:val="0"/>
          <w:sz w:val="17"/>
          <w:u w:val="none"/>
        </w:rPr>
        <w:t xml:space="preserve"> an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important / importantly ]</w:t>
      </w:r>
      <w:r>
        <w:rPr>
          <w:rFonts w:ascii="맑은 고딕" w:hAnsi="맑은 고딕" w:eastAsia="맑은 고딕"/>
          <w:b w:val="0"/>
          <w:sz w:val="17"/>
          <w:u w:val="none"/>
        </w:rPr>
        <w:t xml:space="preserve"> moment in the </w:t>
      </w:r>
      <w:r>
        <w:rPr>
          <w:rFonts w:ascii="맑은 고딕" w:hAnsi="맑은 고딕" w:eastAsia="맑은 고딕"/>
          <w:b/>
          <w:color w:val="C01F1F"/>
          <w:sz w:val="17"/>
          <w:u w:val="none"/>
          <w:vertAlign w:val="superscript"/>
        </w:rPr>
        <w:t>5)</w:t>
      </w:r>
      <w:r>
        <w:rPr>
          <w:rFonts w:ascii="맑은 고딕" w:hAnsi="맑은 고딕" w:eastAsia="맑은 고딕"/>
          <w:b w:val="0"/>
          <w:sz w:val="17"/>
          <w:u w:val="none"/>
        </w:rPr>
        <w:t xml:space="preserve">d________ on workplace mental health. This designation </w:t>
      </w:r>
      <w:r>
        <w:rPr>
          <w:rFonts w:ascii="맑은 고딕" w:hAnsi="맑은 고딕" w:eastAsia="맑은 고딕"/>
          <w:b/>
          <w:color w:val="C01F1F"/>
          <w:sz w:val="17"/>
          <w:u w:val="none"/>
          <w:vertAlign w:val="superscript"/>
        </w:rPr>
        <w:t>6)</w:t>
      </w:r>
      <w:r>
        <w:rPr>
          <w:rFonts w:ascii="맑은 고딕" w:hAnsi="맑은 고딕" w:eastAsia="맑은 고딕"/>
          <w:b/>
          <w:sz w:val="17"/>
          <w:u w:val="none"/>
        </w:rPr>
        <w:t>[ reframes / reframe ]</w:t>
      </w:r>
      <w:r>
        <w:rPr>
          <w:rFonts w:ascii="맑은 고딕" w:hAnsi="맑은 고딕" w:eastAsia="맑은 고딕"/>
          <w:b w:val="0"/>
          <w:sz w:val="17"/>
          <w:u w:val="none"/>
        </w:rPr>
        <w:t xml:space="preserve"> clinical </w:t>
      </w:r>
      <w:r>
        <w:rPr>
          <w:rFonts w:ascii="맑은 고딕" w:hAnsi="맑은 고딕" w:eastAsia="맑은 고딕"/>
          <w:b/>
          <w:color w:val="C01F1F"/>
          <w:sz w:val="17"/>
          <w:u w:val="none"/>
          <w:vertAlign w:val="superscript"/>
        </w:rPr>
        <w:t>7)</w:t>
      </w:r>
      <w:r>
        <w:rPr>
          <w:rFonts w:ascii="맑은 고딕" w:hAnsi="맑은 고딕" w:eastAsia="맑은 고딕"/>
          <w:b w:val="0"/>
          <w:sz w:val="17"/>
          <w:u w:val="none"/>
        </w:rPr>
        <w:t xml:space="preserve">a________ and organizational responsibility, shifting attention to systemic </w:t>
      </w:r>
      <w:r>
        <w:rPr>
          <w:rFonts w:ascii="맑은 고딕" w:hAnsi="맑은 고딕" w:eastAsia="맑은 고딕"/>
          <w:b/>
          <w:color w:val="C01F1F"/>
          <w:sz w:val="17"/>
          <w:u w:val="none"/>
          <w:vertAlign w:val="superscript"/>
        </w:rPr>
        <w:t>8)</w:t>
      </w:r>
      <w:r>
        <w:rPr>
          <w:rFonts w:ascii="맑은 고딕" w:hAnsi="맑은 고딕" w:eastAsia="맑은 고딕"/>
          <w:b/>
          <w:sz w:val="17"/>
          <w:u w:val="none"/>
        </w:rPr>
        <w:t>[ prevention / treatment ]</w:t>
      </w:r>
      <w:r>
        <w:rPr>
          <w:rFonts w:ascii="맑은 고딕" w:hAnsi="맑은 고딕" w:eastAsia="맑은 고딕"/>
          <w:b w:val="0"/>
          <w:sz w:val="17"/>
          <w:u w:val="none"/>
        </w:rPr>
        <w:t xml:space="preserve">. It invites employers </w:t>
      </w:r>
      <w:r>
        <w:rPr>
          <w:rFonts w:ascii="맑은 고딕" w:hAnsi="맑은 고딕" w:eastAsia="맑은 고딕"/>
          <w:b/>
          <w:color w:val="C01F1F"/>
          <w:sz w:val="17"/>
          <w:u w:val="none"/>
          <w:vertAlign w:val="superscript"/>
        </w:rPr>
        <w:t>9)</w:t>
      </w:r>
      <w:r>
        <w:rPr>
          <w:rFonts w:ascii="맑은 고딕" w:hAnsi="맑은 고딕" w:eastAsia="맑은 고딕"/>
          <w:b/>
          <w:sz w:val="17"/>
          <w:u w:val="none"/>
        </w:rPr>
        <w:t>[ to adopt / adopting ]</w:t>
      </w:r>
      <w:r>
        <w:rPr>
          <w:rFonts w:ascii="맑은 고딕" w:hAnsi="맑은 고딕" w:eastAsia="맑은 고딕"/>
          <w:b w:val="0"/>
          <w:sz w:val="17"/>
          <w:u w:val="none"/>
        </w:rPr>
        <w:t xml:space="preserve"> structural interventions rather than relying solely on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individual / collective ]</w:t>
      </w:r>
      <w:r>
        <w:rPr>
          <w:rFonts w:ascii="맑은 고딕" w:hAnsi="맑은 고딕" w:eastAsia="맑은 고딕"/>
          <w:b w:val="0"/>
          <w:sz w:val="17"/>
          <w:u w:val="none"/>
        </w:rPr>
        <w:t xml:space="preserve">-level </w:t>
      </w:r>
      <w:r>
        <w:rPr>
          <w:rFonts w:ascii="맑은 고딕" w:hAnsi="맑은 고딕" w:eastAsia="맑은 고딕"/>
          <w:b/>
          <w:color w:val="C01F1F"/>
          <w:sz w:val="17"/>
          <w:u w:val="none"/>
          <w:vertAlign w:val="superscript"/>
        </w:rPr>
        <w:t>11)</w:t>
      </w:r>
      <w:r>
        <w:rPr>
          <w:rFonts w:ascii="맑은 고딕" w:hAnsi="맑은 고딕" w:eastAsia="맑은 고딕"/>
          <w:b w:val="0"/>
          <w:sz w:val="17"/>
          <w:u w:val="none"/>
        </w:rPr>
        <w:t xml:space="preserve">r________. It signaled a shift away from </w:t>
      </w:r>
      <w:r>
        <w:rPr>
          <w:rFonts w:ascii="맑은 고딕" w:hAnsi="맑은 고딕" w:eastAsia="맑은 고딕"/>
          <w:b/>
          <w:color w:val="C01F1F"/>
          <w:sz w:val="17"/>
          <w:u w:val="none"/>
          <w:vertAlign w:val="superscript"/>
        </w:rPr>
        <w:t>12)</w:t>
      </w:r>
      <w:r>
        <w:rPr>
          <w:rFonts w:ascii="맑은 고딕" w:hAnsi="맑은 고딕" w:eastAsia="맑은 고딕"/>
          <w:b/>
          <w:sz w:val="17"/>
          <w:u w:val="none"/>
        </w:rPr>
        <w:t>[ viewing / to view ]</w:t>
      </w:r>
      <w:r>
        <w:rPr>
          <w:rFonts w:ascii="맑은 고딕" w:hAnsi="맑은 고딕" w:eastAsia="맑은 고딕"/>
          <w:b w:val="0"/>
          <w:sz w:val="17"/>
          <w:u w:val="none"/>
        </w:rPr>
        <w:t xml:space="preserve"> burnout as a personal </w:t>
      </w:r>
      <w:r>
        <w:rPr>
          <w:rFonts w:ascii="맑은 고딕" w:hAnsi="맑은 고딕" w:eastAsia="맑은 고딕"/>
          <w:b/>
          <w:color w:val="C01F1F"/>
          <w:sz w:val="17"/>
          <w:u w:val="none"/>
          <w:vertAlign w:val="superscript"/>
        </w:rPr>
        <w:t>13)</w:t>
      </w:r>
      <w:r>
        <w:rPr>
          <w:rFonts w:ascii="맑은 고딕" w:hAnsi="맑은 고딕" w:eastAsia="맑은 고딕"/>
          <w:b w:val="0"/>
          <w:sz w:val="17"/>
          <w:u w:val="none"/>
        </w:rPr>
        <w:t xml:space="preserve">f________ or a matter of individual </w:t>
      </w:r>
      <w:r>
        <w:rPr>
          <w:rFonts w:ascii="맑은 고딕" w:hAnsi="맑은 고딕" w:eastAsia="맑은 고딕"/>
          <w:b/>
          <w:color w:val="C01F1F"/>
          <w:sz w:val="17"/>
          <w:u w:val="none"/>
          <w:vertAlign w:val="superscript"/>
        </w:rPr>
        <w:t>14)</w:t>
      </w:r>
      <w:r>
        <w:rPr>
          <w:rFonts w:ascii="맑은 고딕" w:hAnsi="맑은 고딕" w:eastAsia="맑은 고딕"/>
          <w:b w:val="0"/>
          <w:sz w:val="17"/>
          <w:u w:val="none"/>
        </w:rPr>
        <w:t xml:space="preserve">________(resilient), toward </w:t>
      </w:r>
      <w:r>
        <w:rPr>
          <w:rFonts w:ascii="맑은 고딕" w:hAnsi="맑은 고딕" w:eastAsia="맑은 고딕"/>
          <w:b/>
          <w:color w:val="C01F1F"/>
          <w:sz w:val="17"/>
          <w:u w:val="none"/>
          <w:vertAlign w:val="superscript"/>
        </w:rPr>
        <w:t>15)</w:t>
      </w:r>
      <w:r>
        <w:rPr>
          <w:rFonts w:ascii="맑은 고딕" w:hAnsi="맑은 고딕" w:eastAsia="맑은 고딕"/>
          <w:b/>
          <w:sz w:val="17"/>
          <w:u w:val="none"/>
        </w:rPr>
        <w:t>[ understanding / understood ]</w:t>
      </w:r>
      <w:r>
        <w:rPr>
          <w:rFonts w:ascii="맑은 고딕" w:hAnsi="맑은 고딕" w:eastAsia="맑은 고딕"/>
          <w:b w:val="0"/>
          <w:sz w:val="17"/>
          <w:u w:val="none"/>
        </w:rPr>
        <w:t xml:space="preserve"> it as a structural issue </w:t>
      </w:r>
      <w:r>
        <w:rPr>
          <w:rFonts w:ascii="맑은 고딕" w:hAnsi="맑은 고딕" w:eastAsia="맑은 고딕"/>
          <w:b/>
          <w:color w:val="C01F1F"/>
          <w:sz w:val="17"/>
          <w:u w:val="none"/>
          <w:vertAlign w:val="superscript"/>
        </w:rPr>
        <w:t>16)</w:t>
      </w:r>
      <w:r>
        <w:rPr>
          <w:rFonts w:ascii="맑은 고딕" w:hAnsi="맑은 고딕" w:eastAsia="맑은 고딕"/>
          <w:b/>
          <w:sz w:val="17"/>
          <w:u w:val="none"/>
        </w:rPr>
        <w:t>[ rooted / rooting ]</w:t>
      </w:r>
      <w:r>
        <w:rPr>
          <w:rFonts w:ascii="맑은 고딕" w:hAnsi="맑은 고딕" w:eastAsia="맑은 고딕"/>
          <w:b w:val="0"/>
          <w:sz w:val="17"/>
          <w:u w:val="none"/>
        </w:rPr>
        <w:t xml:space="preserve"> in organizational culture, leadership practices, and the broader socio-economic context of work. This </w:t>
      </w:r>
      <w:r>
        <w:rPr>
          <w:rFonts w:ascii="맑은 고딕" w:hAnsi="맑은 고딕" w:eastAsia="맑은 고딕"/>
          <w:b/>
          <w:color w:val="C01F1F"/>
          <w:sz w:val="17"/>
          <w:u w:val="none"/>
          <w:vertAlign w:val="superscript"/>
        </w:rPr>
        <w:t>17)</w:t>
      </w:r>
      <w:r>
        <w:rPr>
          <w:rFonts w:ascii="맑은 고딕" w:hAnsi="맑은 고딕" w:eastAsia="맑은 고딕"/>
          <w:b w:val="0"/>
          <w:sz w:val="17"/>
          <w:u w:val="none"/>
        </w:rPr>
        <w:t xml:space="preserve">________(reframe) is </w:t>
      </w:r>
      <w:r>
        <w:rPr>
          <w:rFonts w:ascii="맑은 고딕" w:hAnsi="맑은 고딕" w:eastAsia="맑은 고딕"/>
          <w:b/>
          <w:color w:val="C01F1F"/>
          <w:sz w:val="17"/>
          <w:u w:val="none"/>
          <w:vertAlign w:val="superscript"/>
        </w:rPr>
        <w:t>18)</w:t>
      </w:r>
      <w:r>
        <w:rPr>
          <w:rFonts w:ascii="맑은 고딕" w:hAnsi="맑은 고딕" w:eastAsia="맑은 고딕"/>
          <w:b/>
          <w:sz w:val="17"/>
          <w:u w:val="none"/>
        </w:rPr>
        <w:t>[ essential / optional ]</w:t>
      </w:r>
      <w:r>
        <w:rPr>
          <w:rFonts w:ascii="맑은 고딕" w:hAnsi="맑은 고딕" w:eastAsia="맑은 고딕"/>
          <w:b w:val="0"/>
          <w:sz w:val="17"/>
          <w:u w:val="none"/>
        </w:rPr>
        <w:t xml:space="preserve">, as </w:t>
      </w:r>
      <w:r>
        <w:rPr>
          <w:rFonts w:ascii="맑은 고딕" w:hAnsi="맑은 고딕" w:eastAsia="맑은 고딕"/>
          <w:b/>
          <w:color w:val="C01F1F"/>
          <w:sz w:val="17"/>
          <w:u w:val="none"/>
          <w:vertAlign w:val="superscript"/>
        </w:rPr>
        <w:t>19)</w:t>
      </w:r>
      <w:r>
        <w:rPr>
          <w:rFonts w:ascii="맑은 고딕" w:hAnsi="맑은 고딕" w:eastAsia="맑은 고딕"/>
          <w:b/>
          <w:sz w:val="17"/>
          <w:u w:val="none"/>
        </w:rPr>
        <w:t>[ it / which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20)</w:t>
      </w:r>
      <w:r>
        <w:rPr>
          <w:rFonts w:ascii="맑은 고딕" w:hAnsi="맑은 고딕" w:eastAsia="맑은 고딕"/>
          <w:b/>
          <w:sz w:val="17"/>
          <w:u w:val="none"/>
        </w:rPr>
        <w:t>[ opens / open ]</w:t>
      </w:r>
      <w:r>
        <w:rPr>
          <w:rFonts w:ascii="맑은 고딕" w:hAnsi="맑은 고딕" w:eastAsia="맑은 고딕"/>
          <w:b w:val="0"/>
          <w:sz w:val="17"/>
          <w:u w:val="none"/>
        </w:rPr>
        <w:t xml:space="preserve"> the door to systemic interventions and policy-level changes rather than placing the burden solely on individuals to cope or </w:t>
      </w:r>
      <w:r>
        <w:rPr>
          <w:rFonts w:ascii="맑은 고딕" w:hAnsi="맑은 고딕" w:eastAsia="맑은 고딕"/>
          <w:b/>
          <w:color w:val="C01F1F"/>
          <w:sz w:val="17"/>
          <w:u w:val="none"/>
          <w:vertAlign w:val="superscript"/>
        </w:rPr>
        <w:t>21)</w:t>
      </w:r>
      <w:r>
        <w:rPr>
          <w:rFonts w:ascii="맑은 고딕" w:hAnsi="맑은 고딕" w:eastAsia="맑은 고딕"/>
          <w:b w:val="0"/>
          <w:sz w:val="17"/>
          <w:u w:val="none"/>
        </w:rPr>
        <w:t>________(adaptation).</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This designation reframes clinical assessment and organizational responsibility, </w:t>
      </w:r>
      <w:r>
        <w:rPr>
          <w:rFonts w:ascii="맑은 고딕" w:hAnsi="맑은 고딕" w:eastAsia="맑은 고딕"/>
          <w:b w:val="0"/>
          <w:sz w:val="17"/>
          <w:u w:val="single"/>
        </w:rPr>
        <w:t>shifting attention</w:t>
      </w:r>
      <w:r>
        <w:rPr>
          <w:rFonts w:ascii="맑은 고딕" w:hAnsi="맑은 고딕" w:eastAsia="맑은 고딕"/>
          <w:b w:val="0"/>
          <w:sz w:val="17"/>
          <w:u w:val="none"/>
        </w:rPr>
        <w:t xml:space="preserve"> to systemic prevention.  → 제시 교정: </w:t>
      </w:r>
      <w:r>
        <w:rPr>
          <w:rFonts w:ascii="맑은 고딕" w:hAnsi="맑은 고딕" w:eastAsia="맑은 고딕"/>
          <w:b/>
          <w:sz w:val="17"/>
          <w:u w:val="none"/>
        </w:rPr>
        <w:t>and shifts attention</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It invites employers to adopt structural interventions </w:t>
      </w:r>
      <w:r>
        <w:rPr>
          <w:rFonts w:ascii="맑은 고딕" w:hAnsi="맑은 고딕" w:eastAsia="맑은 고딕"/>
          <w:b w:val="0"/>
          <w:sz w:val="17"/>
          <w:u w:val="single"/>
        </w:rPr>
        <w:t>rather than relying</w:t>
      </w:r>
      <w:r>
        <w:rPr>
          <w:rFonts w:ascii="맑은 고딕" w:hAnsi="맑은 고딕" w:eastAsia="맑은 고딕"/>
          <w:b w:val="0"/>
          <w:sz w:val="17"/>
          <w:u w:val="none"/>
        </w:rPr>
        <w:t xml:space="preserve"> solely on individual-level remedies.  → 제시 교정: </w:t>
      </w:r>
      <w:r>
        <w:rPr>
          <w:rFonts w:ascii="맑은 고딕" w:hAnsi="맑은 고딕" w:eastAsia="맑은 고딕"/>
          <w:b/>
          <w:sz w:val="17"/>
          <w:u w:val="none"/>
        </w:rPr>
        <w:t>instead of relying</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 toward understanding it as a structural issue </w:t>
      </w:r>
      <w:r>
        <w:rPr>
          <w:rFonts w:ascii="맑은 고딕" w:hAnsi="맑은 고딕" w:eastAsia="맑은 고딕"/>
          <w:b w:val="0"/>
          <w:sz w:val="17"/>
          <w:u w:val="single"/>
        </w:rPr>
        <w:t>rooted in</w:t>
      </w:r>
      <w:r>
        <w:rPr>
          <w:rFonts w:ascii="맑은 고딕" w:hAnsi="맑은 고딕" w:eastAsia="맑은 고딕"/>
          <w:b w:val="0"/>
          <w:sz w:val="17"/>
          <w:u w:val="none"/>
        </w:rPr>
        <w:t xml:space="preserve"> organizational culture, leadership practices, and the broader socio-economic context of work.  → 제시 교정: </w:t>
      </w:r>
      <w:r>
        <w:rPr>
          <w:rFonts w:ascii="맑은 고딕" w:hAnsi="맑은 고딕" w:eastAsia="맑은 고딕"/>
          <w:b/>
          <w:sz w:val="17"/>
          <w:u w:val="none"/>
        </w:rPr>
        <w:t>which rooted in</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그것은 고용주들이 오직 개인 수준의 해결책에만 의존하기보다는 구조적 개입을 채택하도록 이끈다.</w:t>
      </w:r>
    </w:p>
    <w:p>
      <w:pPr>
        <w:spacing w:before="0" w:after="0" w:line="264" w:lineRule="auto"/>
        <w:ind w:left="160"/>
        <w:snapToGrid w:val="0"/>
        <w:shd w:val="clear" w:color="auto" w:fill="F3F3F3"/>
      </w:pPr>
      <w:r>
        <w:rPr>
          <w:rFonts w:ascii="맑은 고딕" w:hAnsi="맑은 고딕" w:eastAsia="맑은 고딕"/>
          <w:b w:val="0"/>
          <w:sz w:val="17"/>
          <w:u w:val="none"/>
        </w:rPr>
        <w:t>invite / employers / to adopt / it / rather than / on / structural / interventions / rely / individual-level remedies / solve</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이러한 재구성은 필수적인데, 그것이 개인에게만 대처하거나 적응하도록 부담을 지우기보다는 시스템 차원의 개입과 정책 수준의 변화로 향하는 문을 열어 주기 때문이다.</w:t>
      </w:r>
    </w:p>
    <w:p>
      <w:pPr>
        <w:spacing w:before="0" w:after="0" w:line="264" w:lineRule="auto"/>
        <w:ind w:left="160"/>
        <w:snapToGrid w:val="0"/>
        <w:shd w:val="clear" w:color="auto" w:fill="F3F3F3"/>
      </w:pPr>
      <w:r>
        <w:rPr>
          <w:rFonts w:ascii="맑은 고딕" w:hAnsi="맑은 고딕" w:eastAsia="맑은 고딕"/>
          <w:b w:val="0"/>
          <w:sz w:val="17"/>
          <w:u w:val="none"/>
        </w:rPr>
        <w:t>essential / it / this reframing / as / be / and / open / systemic interventions / to / policy-level changes / rather than / the burden / place / solely / on individuals / to cope or adapt / which</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이러한 지정은 임상적 평가와 조직의 책임을 재구성하여, 관심을 시스템 차원의 예방으로 옮긴다.</w:t>
      </w:r>
    </w:p>
    <w:p>
      <w:pPr>
        <w:spacing w:before="0" w:after="0" w:line="264" w:lineRule="auto"/>
        <w:ind w:left="160"/>
        <w:snapToGrid w:val="0"/>
        <w:shd w:val="clear" w:color="auto" w:fill="F3F3F3"/>
      </w:pPr>
      <w:r>
        <w:rPr>
          <w:rFonts w:ascii="맑은 고딕" w:hAnsi="맑은 고딕" w:eastAsia="맑은 고딕"/>
          <w:b w:val="0"/>
          <w:sz w:val="17"/>
          <w:u w:val="none"/>
        </w:rPr>
        <w:t>reframes / clinical assessment / this designation / and / attention / shift / organizational responsibility / to / systemic prevention</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sz w:val="17"/>
          <w:u w:val="none"/>
        </w:rPr>
        <w:t>This designation</w:t>
      </w:r>
      <w:r>
        <w:rPr>
          <w:rFonts w:ascii="맑은 고딕" w:hAnsi="맑은 고딕" w:eastAsia="맑은 고딕"/>
          <w:b w:val="0"/>
          <w:sz w:val="17"/>
          <w:u w:val="none"/>
        </w:rPr>
        <w:t xml:space="preserve"> reframes — ‘이 지정’이 가리키는 내용을 우리말로: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sz w:val="17"/>
          <w:u w:val="none"/>
        </w:rPr>
        <w:t>It</w:t>
      </w:r>
      <w:r>
        <w:rPr>
          <w:rFonts w:ascii="맑은 고딕" w:hAnsi="맑은 고딕" w:eastAsia="맑은 고딕"/>
          <w:b w:val="0"/>
          <w:sz w:val="17"/>
          <w:u w:val="none"/>
        </w:rPr>
        <w:t xml:space="preserve"> invites employers — It이 가리키는 말을 본문에서(2단어): 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toward understanding </w:t>
      </w:r>
      <w:r>
        <w:rPr>
          <w:rFonts w:ascii="맑은 고딕" w:hAnsi="맑은 고딕" w:eastAsia="맑은 고딕"/>
          <w:b/>
          <w:sz w:val="17"/>
          <w:u w:val="none"/>
        </w:rPr>
        <w:t>it</w:t>
      </w:r>
      <w:r>
        <w:rPr>
          <w:rFonts w:ascii="맑은 고딕" w:hAnsi="맑은 고딕" w:eastAsia="맑은 고딕"/>
          <w:b w:val="0"/>
          <w:sz w:val="17"/>
          <w:u w:val="none"/>
        </w:rPr>
        <w:t xml:space="preserve"> as a structural issue — it이 가리키는 말을 본문에서(1단어): 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sz w:val="17"/>
          <w:u w:val="none"/>
        </w:rPr>
        <w:t>This reframing</w:t>
      </w:r>
      <w:r>
        <w:rPr>
          <w:rFonts w:ascii="맑은 고딕" w:hAnsi="맑은 고딕" w:eastAsia="맑은 고딕"/>
          <w:b w:val="0"/>
          <w:sz w:val="17"/>
          <w:u w:val="none"/>
        </w:rPr>
        <w:t xml:space="preserve"> is essential — ‘이 재구성’이 가리키는 내용을 우리말로: ____________________________________________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00" w:lineRule="auto"/>
        <w:jc w:val="both"/>
        <w:snapToGrid w:val="0"/>
      </w:pPr>
      <w:r>
        <w:rPr>
          <w:rFonts w:ascii="맑은 고딕" w:hAnsi="맑은 고딕" w:eastAsia="맑은 고딕"/>
          <w:b w:val="0"/>
          <w:sz w:val="17"/>
          <w:u w:val="none"/>
        </w:rPr>
        <w:t xml:space="preserve">Something similar happened when a city stopped treating traffic accidents as the fault of careless drivers. Once crashes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were / was ]</w:t>
      </w:r>
      <w:r>
        <w:rPr>
          <w:rFonts w:ascii="맑은 고딕" w:hAnsi="맑은 고딕" w:eastAsia="맑은 고딕"/>
          <w:b w:val="0"/>
          <w:sz w:val="17"/>
          <w:u w:val="none"/>
        </w:rPr>
        <w:t xml:space="preserve"> seen as a problem of road design, attention moved from punishing individuals to fixing dangerous junctions. Engineers were invited to redesign crossings rather than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simply / simple ]</w:t>
      </w:r>
      <w:r>
        <w:rPr>
          <w:rFonts w:ascii="맑은 고딕" w:hAnsi="맑은 고딕" w:eastAsia="맑은 고딕"/>
          <w:b w:val="0"/>
          <w:sz w:val="17"/>
          <w:u w:val="none"/>
        </w:rPr>
        <w:t xml:space="preserve"> telling drivers to be more careful. The change mattered because it placed the responsibility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where / which ]</w:t>
      </w:r>
      <w:r>
        <w:rPr>
          <w:rFonts w:ascii="맑은 고딕" w:hAnsi="맑은 고딕" w:eastAsia="맑은 고딕"/>
          <w:b w:val="0"/>
          <w:sz w:val="17"/>
          <w:u w:val="none"/>
        </w:rPr>
        <w:t xml:space="preserve"> it could actually be acted on — on the system, not on each driver alone.</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The WHO’s 2019 decision moved responsibility for burnout from the individual to the s____________ that shapes work.</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35-1.</w:t>
      </w:r>
      <w:r>
        <w:rPr>
          <w:rFonts w:ascii="맑은 고딕" w:hAnsi="맑은 고딕" w:eastAsia="맑은 고딕"/>
          <w:b w:val="0"/>
          <w:sz w:val="17"/>
          <w:u w:val="none"/>
        </w:rPr>
        <w:t xml:space="preserve"> 다음 글에 대한 &lt;보기&gt;의 설명 중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When the WHO classified burnout as a work-related phenomenon in 2019, it was a turning point in how people talk about mental health at work. The new label changes both how clinicians judge the condition and what organizations are expected to do about it, moving the focus toward preventing it at the level of the whole system. Employers are encouraged to make structural changes instead of leaning only on fixes aimed at the individual worker. The decision marked a move away from seeing burnout as a personal weakness or a question of how tough an individual is, and toward seeing it as a problem (ⓐ) [built / building] into company culture, the way leaders behave, and the wider economic conditions of work. This new way of framing the problem matters, because it makes system-wide action and policy change possible rather than leaving each person to manage or adjust on their own.</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The passage describes a change in direction: from the individual worker toward the system in which the work is done.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‘built’ is the right choice for (ⓐ), because the problem is something that has been built into the culture, not something that builds.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‘Employers are encouraged to make structural changes instead of leaning only on fixes aimed at the individual worker’ means that individual-level fixes should be abandoned altogether.</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In the summary ‘Burnout, along with the conditions that cause it, are now seen as a structural problem’, the verb ‘are’ agrees with its subject.</w:t>
      </w:r>
    </w:p>
    <w:p>
      <w:pPr>
        <w:spacing w:before="0" w:after="20" w:line="276" w:lineRule="auto"/>
        <w:ind w:left="80"/>
        <w:snapToGrid w:val="0"/>
      </w:pPr>
      <w:r>
        <w:rPr>
          <w:rFonts w:ascii="맑은 고딕" w:hAnsi="맑은 고딕" w:eastAsia="맑은 고딕"/>
          <w:b w:val="0"/>
          <w:sz w:val="17"/>
          <w:u w:val="none"/>
        </w:rPr>
        <w:t>① (A), (B)    ② (B), (C)    ③ (C)    ④ (C), (D)    ⑤ (B), (D)</w:t>
      </w:r>
    </w:p>
    <w:p>
      <w:pPr>
        <w:keepNext/>
        <w:spacing w:before="80" w:after="20" w:line="276" w:lineRule="auto"/>
        <w:snapToGrid w:val="0"/>
      </w:pPr>
      <w:r>
        <w:rPr>
          <w:rFonts w:ascii="맑은 고딕" w:hAnsi="맑은 고딕" w:eastAsia="맑은 고딕"/>
          <w:b/>
          <w:sz w:val="17"/>
          <w:u w:val="none"/>
        </w:rPr>
        <w:t>35-2.</w:t>
      </w:r>
      <w:r>
        <w:rPr>
          <w:rFonts w:ascii="맑은 고딕" w:hAnsi="맑은 고딕" w:eastAsia="맑은 고딕"/>
          <w:b w:val="0"/>
          <w:sz w:val="17"/>
          <w:u w:val="none"/>
        </w:rPr>
        <w:t xml:space="preserve"> 다음 글의 빈칸 (A), (B)에 들어갈 말로 가장 적절한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When the WHO classified burnout as a work-related phenomenon in 2019, it was a turning point in how people talk about mental health at work. The new label changes both how clinicians judge the condition and what organizations are expected to do about it, moving the focus toward preventing it at the level of the whole system. Employers are encouraged to make (A) ________ changes instead of leaning only on fixes aimed at the individual worker. In other words, the question is no longer ‘What is wrong with this worker?’ but ‘What is wrong with this (B) ________?’ The decision marked a move away from seeing burnout as a personal weakness or a question of how tough an individual is, and toward seeing it as a problem built into company culture, the way leaders behave, and the wider economic conditions of work. This new way of framing the problem matters, because it makes system-wide action and policy change possible rather than leaving each person to manage or adjust on their own.</w:t>
      </w:r>
    </w:p>
    <w:p>
      <w:pPr>
        <w:spacing w:before="0" w:after="0" w:line="269" w:lineRule="auto"/>
        <w:ind w:left="180" w:hanging="180"/>
        <w:snapToGrid w:val="0"/>
      </w:pPr>
      <w:r>
        <w:rPr>
          <w:rFonts w:ascii="맑은 고딕" w:hAnsi="맑은 고딕" w:eastAsia="맑은 고딕"/>
          <w:b w:val="0"/>
          <w:sz w:val="17"/>
          <w:u w:val="none"/>
        </w:rPr>
        <w:t>① (A) structural  (B) worker</w:t>
      </w:r>
    </w:p>
    <w:p>
      <w:pPr>
        <w:spacing w:before="0" w:after="0" w:line="269" w:lineRule="auto"/>
        <w:ind w:left="180" w:hanging="180"/>
        <w:snapToGrid w:val="0"/>
      </w:pPr>
      <w:r>
        <w:rPr>
          <w:rFonts w:ascii="맑은 고딕" w:hAnsi="맑은 고딕" w:eastAsia="맑은 고딕"/>
          <w:b w:val="0"/>
          <w:sz w:val="17"/>
          <w:u w:val="none"/>
        </w:rPr>
        <w:t>② (A) personal  (B) workplace</w:t>
      </w:r>
    </w:p>
    <w:p>
      <w:pPr>
        <w:spacing w:before="0" w:after="0" w:line="269" w:lineRule="auto"/>
        <w:ind w:left="180" w:hanging="180"/>
        <w:snapToGrid w:val="0"/>
      </w:pPr>
      <w:r>
        <w:rPr>
          <w:rFonts w:ascii="맑은 고딕" w:hAnsi="맑은 고딕" w:eastAsia="맑은 고딕"/>
          <w:b w:val="0"/>
          <w:sz w:val="17"/>
          <w:u w:val="none"/>
        </w:rPr>
        <w:t>③ (A) temporary  (B) workplace</w:t>
      </w:r>
    </w:p>
    <w:p>
      <w:pPr>
        <w:spacing w:before="0" w:after="0" w:line="269" w:lineRule="auto"/>
        <w:ind w:left="180" w:hanging="180"/>
        <w:snapToGrid w:val="0"/>
      </w:pPr>
      <w:r>
        <w:rPr>
          <w:rFonts w:ascii="맑은 고딕" w:hAnsi="맑은 고딕" w:eastAsia="맑은 고딕"/>
          <w:b w:val="0"/>
          <w:sz w:val="17"/>
          <w:u w:val="none"/>
        </w:rPr>
        <w:t>④ (A) structural  (B) workplace</w:t>
      </w:r>
    </w:p>
    <w:p>
      <w:pPr>
        <w:spacing w:before="0" w:after="0" w:line="269" w:lineRule="auto"/>
        <w:ind w:left="180" w:hanging="180"/>
        <w:snapToGrid w:val="0"/>
      </w:pPr>
      <w:r>
        <w:rPr>
          <w:rFonts w:ascii="맑은 고딕" w:hAnsi="맑은 고딕" w:eastAsia="맑은 고딕"/>
          <w:b w:val="0"/>
          <w:sz w:val="17"/>
          <w:u w:val="none"/>
        </w:rPr>
        <w:t>⑤ (A) clinical  (B) economy</w:t>
      </w:r>
    </w:p>
    <w:p>
      <w:pPr>
        <w:keepNext/>
        <w:spacing w:before="80" w:after="20" w:line="276" w:lineRule="auto"/>
        <w:snapToGrid w:val="0"/>
      </w:pPr>
      <w:r>
        <w:rPr>
          <w:rFonts w:ascii="맑은 고딕" w:hAnsi="맑은 고딕" w:eastAsia="맑은 고딕"/>
          <w:b/>
          <w:sz w:val="17"/>
          <w:u w:val="none"/>
        </w:rPr>
        <w:t>35-3.</w:t>
      </w:r>
      <w:r>
        <w:rPr>
          <w:rFonts w:ascii="맑은 고딕" w:hAnsi="맑은 고딕" w:eastAsia="맑은 고딕"/>
          <w:b w:val="0"/>
          <w:sz w:val="17"/>
          <w:u w:val="none"/>
        </w:rPr>
        <w:t xml:space="preserve"> 윗글의 밑줄 친 </w:t>
      </w:r>
      <w:r>
        <w:rPr>
          <w:rFonts w:ascii="맑은 고딕" w:hAnsi="맑은 고딕" w:eastAsia="맑은 고딕"/>
          <w:b w:val="0"/>
          <w:sz w:val="17"/>
          <w:u w:val="single"/>
        </w:rPr>
        <w:t>opens the door to systemic interventions and policy-level changes</w:t>
      </w:r>
      <w:r>
        <w:rPr>
          <w:rFonts w:ascii="맑은 고딕" w:hAnsi="맑은 고딕" w:eastAsia="맑은 고딕"/>
          <w:b w:val="0"/>
          <w:sz w:val="17"/>
          <w:u w:val="none"/>
        </w:rPr>
        <w:t>가 의미하는 바로 가장 적절한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When the WHO classified burnout as a work-related phenomenon in 2019, it was a turning point in how people talk about mental health at work. Employers are encouraged to make structural changes instead of leaning only on fixes aimed at the individual worker. It signaled a shift away from viewing burnout as a personal failing or a matter of individual resilience, toward understanding it as a structural issue rooted in organizational culture, leadership practices, and the broader socio-economic context of work. This reframing is essential, as it </w:t>
      </w:r>
      <w:r>
        <w:rPr>
          <w:rFonts w:ascii="맑은 고딕" w:hAnsi="맑은 고딕" w:eastAsia="맑은 고딕"/>
          <w:b w:val="0"/>
          <w:sz w:val="17"/>
          <w:u w:val="single"/>
        </w:rPr>
        <w:t>opens the door to systemic interventions and policy-level changes</w:t>
      </w:r>
      <w:r>
        <w:rPr>
          <w:rFonts w:ascii="맑은 고딕" w:hAnsi="맑은 고딕" w:eastAsia="맑은 고딕"/>
          <w:b w:val="0"/>
          <w:sz w:val="17"/>
          <w:u w:val="none"/>
        </w:rPr>
        <w:t xml:space="preserve"> rather than placing the burden solely on individuals to cope or adapt.</w:t>
      </w:r>
    </w:p>
    <w:p>
      <w:pPr>
        <w:spacing w:before="0" w:after="0" w:line="269" w:lineRule="auto"/>
        <w:ind w:left="180" w:hanging="180"/>
        <w:snapToGrid w:val="0"/>
      </w:pPr>
      <w:r>
        <w:rPr>
          <w:rFonts w:ascii="맑은 고딕" w:hAnsi="맑은 고딕" w:eastAsia="맑은 고딕"/>
          <w:b w:val="0"/>
          <w:sz w:val="17"/>
          <w:u w:val="none"/>
        </w:rPr>
        <w:t>① forces every company to adopt the same mental-health policy</w:t>
      </w:r>
    </w:p>
    <w:p>
      <w:pPr>
        <w:spacing w:before="0" w:after="0" w:line="269" w:lineRule="auto"/>
        <w:ind w:left="180" w:hanging="180"/>
        <w:snapToGrid w:val="0"/>
      </w:pPr>
      <w:r>
        <w:rPr>
          <w:rFonts w:ascii="맑은 고딕" w:hAnsi="맑은 고딕" w:eastAsia="맑은 고딕"/>
          <w:b w:val="0"/>
          <w:sz w:val="17"/>
          <w:u w:val="none"/>
        </w:rPr>
        <w:t>② makes it possible to respond to burnout at the level of organizations and public policy</w:t>
      </w:r>
    </w:p>
    <w:p>
      <w:pPr>
        <w:spacing w:before="0" w:after="0" w:line="269" w:lineRule="auto"/>
        <w:ind w:left="180" w:hanging="180"/>
        <w:snapToGrid w:val="0"/>
      </w:pPr>
      <w:r>
        <w:rPr>
          <w:rFonts w:ascii="맑은 고딕" w:hAnsi="맑은 고딕" w:eastAsia="맑은 고딕"/>
          <w:b w:val="0"/>
          <w:sz w:val="17"/>
          <w:u w:val="none"/>
        </w:rPr>
        <w:t>③ allows individual workers to walk away from jobs that exhaust them</w:t>
      </w:r>
    </w:p>
    <w:p>
      <w:pPr>
        <w:spacing w:before="0" w:after="0" w:line="269" w:lineRule="auto"/>
        <w:ind w:left="180" w:hanging="180"/>
        <w:snapToGrid w:val="0"/>
      </w:pPr>
      <w:r>
        <w:rPr>
          <w:rFonts w:ascii="맑은 고딕" w:hAnsi="맑은 고딕" w:eastAsia="맑은 고딕"/>
          <w:b w:val="0"/>
          <w:sz w:val="17"/>
          <w:u w:val="none"/>
        </w:rPr>
        <w:t>④ gives clinicians the authority to decide how workplaces are run</w:t>
      </w:r>
    </w:p>
    <w:p>
      <w:pPr>
        <w:spacing w:before="0" w:after="0" w:line="269" w:lineRule="auto"/>
        <w:ind w:left="180" w:hanging="180"/>
        <w:snapToGrid w:val="0"/>
      </w:pPr>
      <w:r>
        <w:rPr>
          <w:rFonts w:ascii="맑은 고딕" w:hAnsi="맑은 고딕" w:eastAsia="맑은 고딕"/>
          <w:b w:val="0"/>
          <w:sz w:val="17"/>
          <w:u w:val="none"/>
        </w:rPr>
        <w:t>⑤ lets governments measure burnout more accurately than before</w:t>
      </w:r>
    </w:p>
    <w:p>
      <w:pPr>
        <w:keepNext/>
        <w:spacing w:before="80" w:after="20" w:line="276" w:lineRule="auto"/>
        <w:snapToGrid w:val="0"/>
      </w:pPr>
      <w:r>
        <w:rPr>
          <w:rFonts w:ascii="맑은 고딕" w:hAnsi="맑은 고딕" w:eastAsia="맑은 고딕"/>
          <w:b/>
          <w:sz w:val="17"/>
          <w:u w:val="none"/>
        </w:rPr>
        <w:t>35-4.</w:t>
      </w:r>
      <w:r>
        <w:rPr>
          <w:rFonts w:ascii="맑은 고딕" w:hAnsi="맑은 고딕" w:eastAsia="맑은 고딕"/>
          <w:b w:val="0"/>
          <w:sz w:val="17"/>
          <w:u w:val="none"/>
        </w:rPr>
        <w:t xml:space="preserve"> 다음 글의 밑줄 친 부분 중, 어법상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When the WHO classified burnout as a work-related phenomenon in 2019, it was a turning point in how people talk about mental health at work. This designation reframes clinical assessment and organizational responsibility, ①</w:t>
      </w:r>
      <w:r>
        <w:rPr>
          <w:rFonts w:ascii="맑은 고딕" w:hAnsi="맑은 고딕" w:eastAsia="맑은 고딕"/>
          <w:b w:val="0"/>
          <w:sz w:val="17"/>
          <w:u w:val="single"/>
        </w:rPr>
        <w:t>shifted</w:t>
      </w:r>
      <w:r>
        <w:rPr>
          <w:rFonts w:ascii="맑은 고딕" w:hAnsi="맑은 고딕" w:eastAsia="맑은 고딕"/>
          <w:b w:val="0"/>
          <w:sz w:val="17"/>
          <w:u w:val="none"/>
        </w:rPr>
        <w:t xml:space="preserve"> attention to systemic prevention. Employers are encouraged to make structural changes instead of leaning only on fixes aimed at the individual worker. It signaled a shift away from ②</w:t>
      </w:r>
      <w:r>
        <w:rPr>
          <w:rFonts w:ascii="맑은 고딕" w:hAnsi="맑은 고딕" w:eastAsia="맑은 고딕"/>
          <w:b w:val="0"/>
          <w:sz w:val="17"/>
          <w:u w:val="single"/>
        </w:rPr>
        <w:t>viewing</w:t>
      </w:r>
      <w:r>
        <w:rPr>
          <w:rFonts w:ascii="맑은 고딕" w:hAnsi="맑은 고딕" w:eastAsia="맑은 고딕"/>
          <w:b w:val="0"/>
          <w:sz w:val="17"/>
          <w:u w:val="none"/>
        </w:rPr>
        <w:t xml:space="preserve"> burnout as a personal failing or a matter of individual resilience, toward understanding it as a structural issue ③</w:t>
      </w:r>
      <w:r>
        <w:rPr>
          <w:rFonts w:ascii="맑은 고딕" w:hAnsi="맑은 고딕" w:eastAsia="맑은 고딕"/>
          <w:b w:val="0"/>
          <w:sz w:val="17"/>
          <w:u w:val="single"/>
        </w:rPr>
        <w:t>rooting</w:t>
      </w:r>
      <w:r>
        <w:rPr>
          <w:rFonts w:ascii="맑은 고딕" w:hAnsi="맑은 고딕" w:eastAsia="맑은 고딕"/>
          <w:b w:val="0"/>
          <w:sz w:val="17"/>
          <w:u w:val="none"/>
        </w:rPr>
        <w:t xml:space="preserve"> in organizational culture, leadership practices, and the broader socio-economic context of work. This reframing ④</w:t>
      </w:r>
      <w:r>
        <w:rPr>
          <w:rFonts w:ascii="맑은 고딕" w:hAnsi="맑은 고딕" w:eastAsia="맑은 고딕"/>
          <w:b w:val="0"/>
          <w:sz w:val="17"/>
          <w:u w:val="single"/>
        </w:rPr>
        <w:t>is</w:t>
      </w:r>
      <w:r>
        <w:rPr>
          <w:rFonts w:ascii="맑은 고딕" w:hAnsi="맑은 고딕" w:eastAsia="맑은 고딕"/>
          <w:b w:val="0"/>
          <w:sz w:val="17"/>
          <w:u w:val="none"/>
        </w:rPr>
        <w:t xml:space="preserve"> essential, as it opens the door to systemic interventions and policy-level changes rather than ⑤</w:t>
      </w:r>
      <w:r>
        <w:rPr>
          <w:rFonts w:ascii="맑은 고딕" w:hAnsi="맑은 고딕" w:eastAsia="맑은 고딕"/>
          <w:b w:val="0"/>
          <w:sz w:val="17"/>
          <w:u w:val="single"/>
        </w:rPr>
        <w:t>placing</w:t>
      </w:r>
      <w:r>
        <w:rPr>
          <w:rFonts w:ascii="맑은 고딕" w:hAnsi="맑은 고딕" w:eastAsia="맑은 고딕"/>
          <w:b w:val="0"/>
          <w:sz w:val="17"/>
          <w:u w:val="none"/>
        </w:rPr>
        <w:t xml:space="preserve"> the burden solely on individuals to cope or adapt.</w:t>
      </w:r>
    </w:p>
    <w:p>
      <w:pPr>
        <w:spacing w:before="0" w:after="20" w:line="276" w:lineRule="auto"/>
        <w:ind w:left="80"/>
        <w:snapToGrid w:val="0"/>
      </w:pPr>
      <w:r>
        <w:rPr>
          <w:rFonts w:ascii="맑은 고딕" w:hAnsi="맑은 고딕" w:eastAsia="맑은 고딕"/>
          <w:b w:val="0"/>
          <w:sz w:val="17"/>
          <w:u w:val="none"/>
        </w:rPr>
        <w:t>① ①, ②    ② ②, ⑤    ③ ①, ④    ④ ①, ③    ⑤ ③, ⑤</w:t>
      </w:r>
    </w:p>
    <w:p>
      <w:pPr>
        <w:keepNext/>
        <w:spacing w:before="80" w:after="20" w:line="276" w:lineRule="auto"/>
        <w:snapToGrid w:val="0"/>
      </w:pPr>
      <w:r>
        <w:rPr>
          <w:rFonts w:ascii="맑은 고딕" w:hAnsi="맑은 고딕" w:eastAsia="맑은 고딕"/>
          <w:b/>
          <w:sz w:val="17"/>
          <w:u w:val="none"/>
        </w:rPr>
        <w:t>35-5.</w:t>
      </w:r>
      <w:r>
        <w:rPr>
          <w:rFonts w:ascii="맑은 고딕" w:hAnsi="맑은 고딕" w:eastAsia="맑은 고딕"/>
          <w:b w:val="0"/>
          <w:sz w:val="17"/>
          <w:u w:val="none"/>
        </w:rPr>
        <w:t xml:space="preserve"> According to the passage, which of the following is </w:t>
      </w:r>
      <w:r>
        <w:rPr>
          <w:rFonts w:ascii="맑은 고딕" w:hAnsi="맑은 고딕" w:eastAsia="맑은 고딕"/>
          <w:b w:val="0"/>
          <w:sz w:val="17"/>
          <w:u w:val="single"/>
        </w:rPr>
        <w:t>NOT</w:t>
      </w:r>
      <w:r>
        <w:rPr>
          <w:rFonts w:ascii="맑은 고딕" w:hAnsi="맑은 고딕" w:eastAsia="맑은 고딕"/>
          <w:b w:val="0"/>
          <w:sz w:val="17"/>
          <w:u w:val="none"/>
        </w:rPr>
        <w:t xml:space="preserve"> true?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When the WHO classified burnout as a work-related phenomenon in 2019, it was a turning point in how people talk about mental health at work. The new label changes both how clinicians judge the condition and what organizations are expected to do about it, moving the focus toward preventing it at the level of the whole system. Employers are encouraged to make structural changes instead of leaning only on fixes aimed at the individual worker. The decision marked a move away from seeing burnout as a personal weakness or a question of how tough an individual is, and toward seeing it as a problem built into company culture, the way leaders behave, and the wider economic conditions of work. This new way of framing the problem matters, because it makes system-wide action and policy change possible rather than leaving each person to manage or adjust on their own.</w:t>
      </w:r>
    </w:p>
    <w:p>
      <w:pPr>
        <w:spacing w:before="0" w:after="0" w:line="269" w:lineRule="auto"/>
        <w:ind w:left="180" w:hanging="180"/>
        <w:snapToGrid w:val="0"/>
      </w:pPr>
      <w:r>
        <w:rPr>
          <w:rFonts w:ascii="맑은 고딕" w:hAnsi="맑은 고딕" w:eastAsia="맑은 고딕"/>
          <w:b w:val="0"/>
          <w:sz w:val="17"/>
          <w:u w:val="none"/>
        </w:rPr>
        <w:t>① The WHO decision made clinicians solely responsible for curing burnout on their own.</w:t>
      </w:r>
    </w:p>
    <w:p>
      <w:pPr>
        <w:spacing w:before="0" w:after="0" w:line="269" w:lineRule="auto"/>
        <w:ind w:left="180" w:hanging="180"/>
        <w:snapToGrid w:val="0"/>
      </w:pPr>
      <w:r>
        <w:rPr>
          <w:rFonts w:ascii="맑은 고딕" w:hAnsi="맑은 고딕" w:eastAsia="맑은 고딕"/>
          <w:b w:val="0"/>
          <w:sz w:val="17"/>
          <w:u w:val="none"/>
        </w:rPr>
        <w:t>② The 2019 classification changed how organizations are expected to deal with burnout.</w:t>
      </w:r>
    </w:p>
    <w:p>
      <w:pPr>
        <w:spacing w:before="0" w:after="0" w:line="269" w:lineRule="auto"/>
        <w:ind w:left="180" w:hanging="180"/>
        <w:snapToGrid w:val="0"/>
      </w:pPr>
      <w:r>
        <w:rPr>
          <w:rFonts w:ascii="맑은 고딕" w:hAnsi="맑은 고딕" w:eastAsia="맑은 고딕"/>
          <w:b w:val="0"/>
          <w:sz w:val="17"/>
          <w:u w:val="none"/>
        </w:rPr>
        <w:t>③ Employers are urged not to rely only on remedies aimed at the individual worker.</w:t>
      </w:r>
    </w:p>
    <w:p>
      <w:pPr>
        <w:spacing w:before="0" w:after="0" w:line="269" w:lineRule="auto"/>
        <w:ind w:left="180" w:hanging="180"/>
        <w:snapToGrid w:val="0"/>
      </w:pPr>
      <w:r>
        <w:rPr>
          <w:rFonts w:ascii="맑은 고딕" w:hAnsi="맑은 고딕" w:eastAsia="맑은 고딕"/>
          <w:b w:val="0"/>
          <w:sz w:val="17"/>
          <w:u w:val="none"/>
        </w:rPr>
        <w:t>④ Burnout used to be seen as a matter of personal weakness or toughness.</w:t>
      </w:r>
    </w:p>
    <w:p>
      <w:pPr>
        <w:spacing w:before="0" w:after="0" w:line="269" w:lineRule="auto"/>
        <w:ind w:left="180" w:hanging="180"/>
        <w:snapToGrid w:val="0"/>
      </w:pPr>
      <w:r>
        <w:rPr>
          <w:rFonts w:ascii="맑은 고딕" w:hAnsi="맑은 고딕" w:eastAsia="맑은 고딕"/>
          <w:b w:val="0"/>
          <w:sz w:val="17"/>
          <w:u w:val="none"/>
        </w:rPr>
        <w:t>⑤ The writer thinks the new framing matters because it allows action at the level of the whole system.</w:t>
      </w:r>
    </w:p>
    <w:p>
      <w:pPr>
        <w:keepNext/>
        <w:spacing w:before="80" w:after="20" w:line="276" w:lineRule="auto"/>
        <w:snapToGrid w:val="0"/>
      </w:pPr>
      <w:r>
        <w:rPr>
          <w:rFonts w:ascii="맑은 고딕" w:hAnsi="맑은 고딕" w:eastAsia="맑은 고딕"/>
          <w:b/>
          <w:sz w:val="17"/>
          <w:u w:val="none"/>
        </w:rPr>
        <w:t>35-6.</w:t>
      </w:r>
      <w:r>
        <w:rPr>
          <w:rFonts w:ascii="맑은 고딕" w:hAnsi="맑은 고딕" w:eastAsia="맑은 고딕"/>
          <w:b w:val="0"/>
          <w:sz w:val="17"/>
          <w:u w:val="none"/>
        </w:rPr>
        <w:t xml:space="preserve"> What is the main point of the passage?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When the WHO classified burnout as a work-related phenomenon in 2019, it was a turning point in how people talk about mental health at work. The new label changes both how clinicians judge the condition and what organizations are expected to do about it, moving the focus toward preventing it at the level of the whole system. Employers are encouraged to make structural changes instead of leaning only on fixes aimed at the individual worker. The decision marked a move away from seeing burnout as a personal weakness or a question of how tough an individual is, and toward seeing it as a problem built into company culture, the way leaders behave, and the wider economic conditions of work. This new way of framing the problem matters, because it makes system-wide action and policy change possible rather than leaving each person to manage or adjust on their own.</w:t>
      </w:r>
    </w:p>
    <w:p>
      <w:pPr>
        <w:spacing w:before="0" w:after="0" w:line="269" w:lineRule="auto"/>
        <w:ind w:left="180" w:hanging="180"/>
        <w:snapToGrid w:val="0"/>
      </w:pPr>
      <w:r>
        <w:rPr>
          <w:rFonts w:ascii="맑은 고딕" w:hAnsi="맑은 고딕" w:eastAsia="맑은 고딕"/>
          <w:b w:val="0"/>
          <w:sz w:val="17"/>
          <w:u w:val="none"/>
        </w:rPr>
        <w:t>① The WHO should classify more conditions as work-related phenomena.</w:t>
      </w:r>
    </w:p>
    <w:p>
      <w:pPr>
        <w:spacing w:before="0" w:after="0" w:line="269" w:lineRule="auto"/>
        <w:ind w:left="180" w:hanging="180"/>
        <w:snapToGrid w:val="0"/>
      </w:pPr>
      <w:r>
        <w:rPr>
          <w:rFonts w:ascii="맑은 고딕" w:hAnsi="맑은 고딕" w:eastAsia="맑은 고딕"/>
          <w:b w:val="0"/>
          <w:sz w:val="17"/>
          <w:u w:val="none"/>
        </w:rPr>
        <w:t>② Workers who suffer burnout need to build stronger personal resilience.</w:t>
      </w:r>
    </w:p>
    <w:p>
      <w:pPr>
        <w:spacing w:before="0" w:after="0" w:line="269" w:lineRule="auto"/>
        <w:ind w:left="180" w:hanging="180"/>
        <w:snapToGrid w:val="0"/>
      </w:pPr>
      <w:r>
        <w:rPr>
          <w:rFonts w:ascii="맑은 고딕" w:hAnsi="맑은 고딕" w:eastAsia="맑은 고딕"/>
          <w:b w:val="0"/>
          <w:sz w:val="17"/>
          <w:u w:val="none"/>
        </w:rPr>
        <w:t>③ Seeing burnout as a structural problem rather than a personal one opens the way to system-level solutions.</w:t>
      </w:r>
    </w:p>
    <w:p>
      <w:pPr>
        <w:spacing w:before="0" w:after="0" w:line="269" w:lineRule="auto"/>
        <w:ind w:left="180" w:hanging="180"/>
        <w:snapToGrid w:val="0"/>
      </w:pPr>
      <w:r>
        <w:rPr>
          <w:rFonts w:ascii="맑은 고딕" w:hAnsi="맑은 고딕" w:eastAsia="맑은 고딕"/>
          <w:b w:val="0"/>
          <w:sz w:val="17"/>
          <w:u w:val="none"/>
        </w:rPr>
        <w:t>④ Economic conditions are the single most important cause of burnout.</w:t>
      </w:r>
    </w:p>
    <w:p>
      <w:pPr>
        <w:spacing w:before="0" w:after="0" w:line="269" w:lineRule="auto"/>
        <w:ind w:left="180" w:hanging="180"/>
        <w:snapToGrid w:val="0"/>
      </w:pPr>
      <w:r>
        <w:rPr>
          <w:rFonts w:ascii="맑은 고딕" w:hAnsi="맑은 고딕" w:eastAsia="맑은 고딕"/>
          <w:b w:val="0"/>
          <w:sz w:val="17"/>
          <w:u w:val="none"/>
        </w:rPr>
        <w:t>⑤ Clinicians can now diagnose burnout more precisely than before 2019.</w:t>
      </w:r>
    </w:p>
    <w:p>
      <w:pPr>
        <w:keepNext/>
        <w:spacing w:before="80" w:after="20" w:line="276" w:lineRule="auto"/>
        <w:snapToGrid w:val="0"/>
      </w:pPr>
      <w:r>
        <w:rPr>
          <w:rFonts w:ascii="맑은 고딕" w:hAnsi="맑은 고딕" w:eastAsia="맑은 고딕"/>
          <w:b/>
          <w:sz w:val="17"/>
          <w:u w:val="none"/>
        </w:rPr>
        <w:t>35-7.</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When the WHO classified burnout as a work-related phenomenon in 2019, it was a turning point in how people talk about mental health at work. This designation reframes clinical assessment and organizational responsibility, shifting attention to systemic ①</w:t>
      </w:r>
      <w:r>
        <w:rPr>
          <w:rFonts w:ascii="맑은 고딕" w:hAnsi="맑은 고딕" w:eastAsia="맑은 고딕"/>
          <w:b w:val="0"/>
          <w:sz w:val="17"/>
          <w:u w:val="single"/>
        </w:rPr>
        <w:t>prevention</w:t>
      </w:r>
      <w:r>
        <w:rPr>
          <w:rFonts w:ascii="맑은 고딕" w:hAnsi="맑은 고딕" w:eastAsia="맑은 고딕"/>
          <w:b w:val="0"/>
          <w:sz w:val="17"/>
          <w:u w:val="none"/>
        </w:rPr>
        <w:t>. Employers are encouraged to make structural changes instead of leaning only on fixes aimed at the individual worker. It signaled a shift away from viewing burnout as a personal ②</w:t>
      </w:r>
      <w:r>
        <w:rPr>
          <w:rFonts w:ascii="맑은 고딕" w:hAnsi="맑은 고딕" w:eastAsia="맑은 고딕"/>
          <w:b w:val="0"/>
          <w:sz w:val="17"/>
          <w:u w:val="single"/>
        </w:rPr>
        <w:t>strength</w:t>
      </w:r>
      <w:r>
        <w:rPr>
          <w:rFonts w:ascii="맑은 고딕" w:hAnsi="맑은 고딕" w:eastAsia="맑은 고딕"/>
          <w:b w:val="0"/>
          <w:sz w:val="17"/>
          <w:u w:val="none"/>
        </w:rPr>
        <w:t xml:space="preserve"> or a matter of individual resilience, toward understanding it as a ③</w:t>
      </w:r>
      <w:r>
        <w:rPr>
          <w:rFonts w:ascii="맑은 고딕" w:hAnsi="맑은 고딕" w:eastAsia="맑은 고딕"/>
          <w:b w:val="0"/>
          <w:sz w:val="17"/>
          <w:u w:val="single"/>
        </w:rPr>
        <w:t>structural</w:t>
      </w:r>
      <w:r>
        <w:rPr>
          <w:rFonts w:ascii="맑은 고딕" w:hAnsi="맑은 고딕" w:eastAsia="맑은 고딕"/>
          <w:b w:val="0"/>
          <w:sz w:val="17"/>
          <w:u w:val="none"/>
        </w:rPr>
        <w:t xml:space="preserve"> issue rooted in organizational culture, leadership practices, and the broader socio-economic context of work. This reframing is ④</w:t>
      </w:r>
      <w:r>
        <w:rPr>
          <w:rFonts w:ascii="맑은 고딕" w:hAnsi="맑은 고딕" w:eastAsia="맑은 고딕"/>
          <w:b w:val="0"/>
          <w:sz w:val="17"/>
          <w:u w:val="single"/>
        </w:rPr>
        <w:t>essential</w:t>
      </w:r>
      <w:r>
        <w:rPr>
          <w:rFonts w:ascii="맑은 고딕" w:hAnsi="맑은 고딕" w:eastAsia="맑은 고딕"/>
          <w:b w:val="0"/>
          <w:sz w:val="17"/>
          <w:u w:val="none"/>
        </w:rPr>
        <w:t>, as it opens the door to systemic interventions and policy-level changes rather than placing the burden ⑤</w:t>
      </w:r>
      <w:r>
        <w:rPr>
          <w:rFonts w:ascii="맑은 고딕" w:hAnsi="맑은 고딕" w:eastAsia="맑은 고딕"/>
          <w:b w:val="0"/>
          <w:sz w:val="17"/>
          <w:u w:val="single"/>
        </w:rPr>
        <w:t>solely</w:t>
      </w:r>
      <w:r>
        <w:rPr>
          <w:rFonts w:ascii="맑은 고딕" w:hAnsi="맑은 고딕" w:eastAsia="맑은 고딕"/>
          <w:b w:val="0"/>
          <w:sz w:val="17"/>
          <w:u w:val="none"/>
        </w:rPr>
        <w:t xml:space="preserve"> on individuals to cope or adapt.</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40" w:line="276" w:lineRule="auto"/>
        <w:snapToGrid w:val="0"/>
        <w:shd w:val="clear" w:color="auto" w:fill="8A3A12"/>
      </w:pPr>
      <w:r>
        <w:rPr>
          <w:rFonts w:ascii="맑은 고딕" w:hAnsi="맑은 고딕" w:eastAsia="맑은 고딕"/>
          <w:b/>
          <w:color w:val="FFFFFF"/>
          <w:sz w:val="17"/>
          <w:u w:val="none"/>
        </w:rPr>
        <w:t>서답형  35-서1 ~ 35-서2</w:t>
      </w:r>
    </w:p>
    <w:p>
      <w:pPr>
        <w:keepNext/>
        <w:spacing w:before="80" w:after="20" w:line="276" w:lineRule="auto"/>
        <w:snapToGrid w:val="0"/>
      </w:pPr>
      <w:r>
        <w:rPr>
          <w:rFonts w:ascii="맑은 고딕" w:hAnsi="맑은 고딕" w:eastAsia="맑은 고딕"/>
          <w:b/>
          <w:sz w:val="17"/>
          <w:u w:val="none"/>
        </w:rPr>
        <w:t>35-서1.</w:t>
      </w:r>
      <w:r>
        <w:rPr>
          <w:rFonts w:ascii="맑은 고딕" w:hAnsi="맑은 고딕" w:eastAsia="맑은 고딕"/>
          <w:b w:val="0"/>
          <w:sz w:val="17"/>
          <w:u w:val="none"/>
        </w:rPr>
        <w:t xml:space="preserve"> 다음 글의 밑줄 친 문장과 같은 뜻이 되도록 &lt;보기&gt;의 표현을 모두 사용하여 &lt;조건&gt;에 맞게 영작하시오.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single"/>
        </w:rPr>
        <w:t>The recognition of burnout as an occupational phenomenon by the WHO in 2019 marked an important moment in the discourse on workplace mental health.</w:t>
      </w:r>
      <w:r>
        <w:rPr>
          <w:rFonts w:ascii="맑은 고딕" w:hAnsi="맑은 고딕" w:eastAsia="맑은 고딕"/>
          <w:b w:val="0"/>
          <w:sz w:val="17"/>
          <w:u w:val="none"/>
        </w:rPr>
        <w:t xml:space="preserve"> This designation reframes clinical assessment and organizational responsibility, shifting attention to systemic prevention.</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that / the WHO / recognition / burnout / as / an occupational phenomenon / in 2019 / marked / an important moment / in / the discourse / on / workplace mental health</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Use ALL the expressions in the box, each only once.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Change the form of ‘recognition’ only (into a verb); do NOT change any other word and do NOT add any other words (do NOT use ‘of’ or ‘by’).</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Begin with ‘That the WHO’ and use a that-clause as the subject of the sentence.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Write 22 words in total.</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That the WHO ________________________________________________________________________ .</w:t>
      </w:r>
    </w:p>
    <w:p>
      <w:pPr>
        <w:keepNext/>
        <w:spacing w:before="80" w:after="20" w:line="276" w:lineRule="auto"/>
        <w:snapToGrid w:val="0"/>
      </w:pPr>
      <w:r>
        <w:rPr>
          <w:rFonts w:ascii="맑은 고딕" w:hAnsi="맑은 고딕" w:eastAsia="맑은 고딕"/>
          <w:b/>
          <w:sz w:val="17"/>
          <w:u w:val="none"/>
        </w:rPr>
        <w:t>35-서2.</w:t>
      </w:r>
      <w:r>
        <w:rPr>
          <w:rFonts w:ascii="맑은 고딕" w:hAnsi="맑은 고딕" w:eastAsia="맑은 고딕"/>
          <w:b w:val="0"/>
          <w:sz w:val="17"/>
          <w:u w:val="none"/>
        </w:rPr>
        <w:t xml:space="preserve"> 다음 글을 읽고 물음에 </w:t>
      </w:r>
      <w:r>
        <w:rPr>
          <w:rFonts w:ascii="맑은 고딕" w:hAnsi="맑은 고딕" w:eastAsia="맑은 고딕"/>
          <w:b w:val="0"/>
          <w:sz w:val="17"/>
          <w:u w:val="single"/>
        </w:rPr>
        <w:t>완전한 영어 문장</w:t>
      </w:r>
      <w:r>
        <w:rPr>
          <w:rFonts w:ascii="맑은 고딕" w:hAnsi="맑은 고딕" w:eastAsia="맑은 고딕"/>
          <w:b w:val="0"/>
          <w:sz w:val="17"/>
          <w:u w:val="none"/>
        </w:rPr>
        <w:t>으로 답하시오. [각 1점,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When the WHO classified burnout as a work-related phenomenon in 2019, it was a turning point in how people talk about mental health at work. The new label changes both how clinicians judge the condition and what organizations are expected to do about it, moving the focus toward preventing it at the level of the whole system. Employers are encouraged to make structural changes instead of leaning only on fixes aimed at the individual worker. The decision marked a move away from seeing burnout as a personal weakness or a question of how tough an individual is, and toward seeing it as a problem built into company culture, the way leaders behave, and the wider economic conditions of work. This new way of framing the problem matters, because it makes system-wide action and policy change possible rather than leaving each person to manage or adjust on their own.</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Q1. What did the WHO do in 2019, according to the passage?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Q2. What are employers encouraged to do instead of relying only on fixes aimed at the individual worker?</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Q3. Why does the writer think the new way of framing burnout matters?</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 본문의 표현을 활용하되 질문에 맞는 완전한 문장으로 쓸 것 · 답안지에 소문항 번호(Q1·Q2·Q3)를 정확히 기입할 것</w:t>
      </w:r>
    </w:p>
    <w:p>
      <w:pPr>
        <w:spacing w:before="0" w:after="40" w:line="360" w:lineRule="auto"/>
        <w:snapToGrid w:val="0"/>
      </w:pPr>
      <w:r>
        <w:rPr>
          <w:rFonts w:ascii="맑은 고딕" w:hAnsi="맑은 고딕" w:eastAsia="맑은 고딕"/>
          <w:b w:val="0"/>
          <w:sz w:val="17"/>
          <w:u w:val="none"/>
        </w:rPr>
        <w:t>Q1 ______________________________________________</w:t>
        <w:br/>
        <w:t>Q2 ______________________________________________</w:t>
        <w:br/>
        <w:t>Q3 ______________________________________________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35-8.</w:t>
      </w:r>
      <w:r>
        <w:rPr>
          <w:rFonts w:ascii="맑은 고딕" w:hAnsi="맑은 고딕" w:eastAsia="맑은 고딕"/>
          <w:b w:val="0"/>
          <w:sz w:val="17"/>
          <w:u w:val="none"/>
        </w:rPr>
        <w:t xml:space="preserve"> 글의 흐름으로 보아, 주어진 문장이 들어가기에 가장 적절한 곳은? [2.5점]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It invites employers to adopt structural interventions rather than relying solely on individual-level remedies.</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① ) The recognition of burnout as an occupational phenomenon by the WHO in 2019 marked an important moment in the discourse on workplace mental health. ( ② ) This designation reframes clinical assessment and organizational responsibility, shifting attention to systemic prevention. ( ③ ) It signaled a shift away from viewing burnout as a personal failing or a matter of individual resilience, toward understanding it as a structural issue rooted in organizational culture, leadership practices, and the broader socio-economic context of work. ( ④ ) This reframing is essential, as it opens the door to systemic interventions and policy-level changes rather than placing the burden solely on individuals to cope or adapt. ( ⑤ )</w:t>
      </w:r>
    </w:p>
    <w:p>
      <w:pPr>
        <w:spacing w:before="0" w:after="20" w:line="276" w:lineRule="auto"/>
        <w:ind w:left="80"/>
        <w:snapToGrid w:val="0"/>
      </w:pPr>
      <w:r>
        <w:rPr>
          <w:rFonts w:ascii="맑은 고딕" w:hAnsi="맑은 고딕" w:eastAsia="맑은 고딕"/>
          <w:b w:val="0"/>
          <w:sz w:val="17"/>
          <w:u w:val="none"/>
        </w:rPr>
        <w:t>① ①    ② ②    ③ ③    ④ ④    ⑤ ⑤</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H1MOGO26-10_35</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recognition</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occupational (명사 phenomenon 수식 → 형용사; 명사 occupation의 형용사형)</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★marked (in 2019 — 과거의 사건 → 과거시제)</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★important (명사 moment 수식 → 형용사; importantly는 부사)</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discourse</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★reframes (주어 This designation 단수)</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assessment</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prevention (관심을 치료가 아닌 ‘예방’으로 — 다음 문장 structural interventions와 호응; treatment는 개인 치료 쪽)</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★to adopt (invite + 목적어 + to부정사)</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individual (‘개인 수준’의 해결책에만 의존하지 말고 — 구조적 개입과 대비; collective는 반대)</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remedies</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★viewing (전치사 from + 동명사)</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failing</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resilience (individual 뒤 명사 — 형용사 resilient의 명사형)</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★understanding (전치사 toward + 동명사 — 앞의 viewing과 병렬)</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★rooted (issue가 ‘뿌리를 둔’ 수동 → 과거분사; rooting은 능동)</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reframing (This + 명사 — 동명사형 명사 ‘재구성’)</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essential (‘필수적’ — 바로 뒤 as절이 그 이유; optional은 반대)</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★it (접속사 as 뒤 절의 주어 자리 → 대명사 it(= this reframing); which는 관계사라 접속사와 겹침)</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★opens (주어 it 단수)</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adapt (to cope or + 동사원형 — 명사 adaptation의 동사형)</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(분사구문 shifting attention = and (it) shifts attention)</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(rather than -ing = instead of -ing ‘~하기보다는’)</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 바른 형태: rooted in = which is rooted in (수동 ‘뿌리를 둔’ — which 뒤에 be동사 필요; which rooted는 능동 과거)</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It invites employers to adopt structural interventions rather than relying solely on individual-level remedies. (보충 solely / 제외 solve / invite→invites, rely→relying)</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This reframing is essential, as it opens the door to systemic interventions and policy-level changes rather than placing the burden solely on individuals to cope or adapt. (보충 the door / 제외 which / be→is, open→opens, place→placing)</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This designation reframes clinical assessment and organizational responsibility, shifting attention to systemic prevention. (shift→shifting)</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2019년 WHO가 번아웃을 직업적 현상으로 인정한 것</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This designation</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burnout</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번아웃을 개인의 실패가 아니라 조직·사회 구조에 뿌리를 둔 문제로 다시 보는 것</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★were (주어 crashes 복수)</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★simply (동명사 telling 수식 → 부사)</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★where (선행사 the responsibility의 ‘자리’ + 뒤 it could … be acted on 완전한 절 → 관계부사)</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system</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35-1</w:t>
      </w:r>
      <w:r>
        <w:rPr>
          <w:rFonts w:ascii="맑은 고딕" w:hAnsi="맑은 고딕" w:eastAsia="맑은 고딕"/>
          <w:b w:val="0"/>
          <w:sz w:val="15"/>
          <w:u w:val="none"/>
        </w:rPr>
        <w:t xml:space="preserve"> 정답 ④ — (A) ○ (B) ○ (C) ✕ (D) ✕</w:t>
      </w:r>
    </w:p>
    <w:p>
      <w:pPr>
        <w:spacing w:before="0" w:after="0" w:line="259" w:lineRule="auto"/>
        <w:ind w:left="160" w:hanging="160"/>
        <w:snapToGrid w:val="0"/>
      </w:pPr>
      <w:r>
        <w:rPr>
          <w:rFonts w:ascii="맑은 고딕" w:hAnsi="맑은 고딕" w:eastAsia="맑은 고딕"/>
          <w:b/>
          <w:sz w:val="15"/>
          <w:u w:val="none"/>
        </w:rPr>
        <w:t>35-2</w:t>
      </w:r>
      <w:r>
        <w:rPr>
          <w:rFonts w:ascii="맑은 고딕" w:hAnsi="맑은 고딕" w:eastAsia="맑은 고딕"/>
          <w:b w:val="0"/>
          <w:sz w:val="15"/>
          <w:u w:val="none"/>
        </w:rPr>
        <w:t xml:space="preserve"> 정답 ④ — (A) structural (B) workplace</w:t>
      </w:r>
    </w:p>
    <w:p>
      <w:pPr>
        <w:spacing w:before="0" w:after="0" w:line="259" w:lineRule="auto"/>
        <w:ind w:left="160" w:hanging="160"/>
        <w:snapToGrid w:val="0"/>
      </w:pPr>
      <w:r>
        <w:rPr>
          <w:rFonts w:ascii="맑은 고딕" w:hAnsi="맑은 고딕" w:eastAsia="맑은 고딕"/>
          <w:b/>
          <w:sz w:val="15"/>
          <w:u w:val="none"/>
        </w:rPr>
        <w:t>35-3</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35-4</w:t>
      </w:r>
      <w:r>
        <w:rPr>
          <w:rFonts w:ascii="맑은 고딕" w:hAnsi="맑은 고딕" w:eastAsia="맑은 고딕"/>
          <w:b w:val="0"/>
          <w:sz w:val="15"/>
          <w:u w:val="none"/>
        </w:rPr>
        <w:t xml:space="preserve"> 정답 ④ — ① shifted → shifting  ③ rooting → rooted</w:t>
      </w:r>
    </w:p>
    <w:p>
      <w:pPr>
        <w:spacing w:before="0" w:after="0" w:line="259" w:lineRule="auto"/>
        <w:ind w:left="160" w:hanging="160"/>
        <w:snapToGrid w:val="0"/>
      </w:pPr>
      <w:r>
        <w:rPr>
          <w:rFonts w:ascii="맑은 고딕" w:hAnsi="맑은 고딕" w:eastAsia="맑은 고딕"/>
          <w:b/>
          <w:sz w:val="15"/>
          <w:u w:val="none"/>
        </w:rPr>
        <w:t>35-5</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35-6</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35-7</w:t>
      </w:r>
      <w:r>
        <w:rPr>
          <w:rFonts w:ascii="맑은 고딕" w:hAnsi="맑은 고딕" w:eastAsia="맑은 고딕"/>
          <w:b w:val="0"/>
          <w:sz w:val="15"/>
          <w:u w:val="none"/>
        </w:rPr>
        <w:t xml:space="preserve"> 정답 ② — strength → failing</w:t>
      </w:r>
    </w:p>
    <w:p>
      <w:pPr>
        <w:spacing w:before="0" w:after="0" w:line="259" w:lineRule="auto"/>
        <w:ind w:left="160" w:hanging="160"/>
        <w:snapToGrid w:val="0"/>
      </w:pPr>
      <w:r>
        <w:rPr>
          <w:rFonts w:ascii="맑은 고딕" w:hAnsi="맑은 고딕" w:eastAsia="맑은 고딕"/>
          <w:b/>
          <w:sz w:val="15"/>
          <w:u w:val="none"/>
        </w:rPr>
        <w:t>35-서1</w:t>
      </w:r>
      <w:r>
        <w:rPr>
          <w:rFonts w:ascii="맑은 고딕" w:hAnsi="맑은 고딕" w:eastAsia="맑은 고딕"/>
          <w:b w:val="0"/>
          <w:sz w:val="15"/>
          <w:u w:val="none"/>
        </w:rPr>
        <w:t xml:space="preserve"> That the WHO recognized burnout as an occupational phenomenon in 2019 marked an important moment in the discourse on workplace mental health.</w:t>
      </w:r>
    </w:p>
    <w:p>
      <w:pPr>
        <w:spacing w:before="0" w:after="0" w:line="259" w:lineRule="auto"/>
        <w:ind w:left="160" w:hanging="160"/>
        <w:snapToGrid w:val="0"/>
      </w:pPr>
      <w:r>
        <w:rPr>
          <w:rFonts w:ascii="맑은 고딕" w:hAnsi="맑은 고딕" w:eastAsia="맑은 고딕"/>
          <w:b/>
          <w:sz w:val="15"/>
          <w:u w:val="none"/>
        </w:rPr>
        <w:t>35-서2</w:t>
      </w:r>
      <w:r>
        <w:rPr>
          <w:rFonts w:ascii="맑은 고딕" w:hAnsi="맑은 고딕" w:eastAsia="맑은 고딕"/>
          <w:b w:val="0"/>
          <w:sz w:val="15"/>
          <w:u w:val="none"/>
        </w:rPr>
        <w:t xml:space="preserve"> Q1 It classified burnout as a work-related phenomenon.  Q2 They are encouraged to make structural changes.  Q3 Because it makes system-wide action and policy change possible rather than leaving each person to manage on their own.</w:t>
      </w:r>
    </w:p>
    <w:p>
      <w:pPr>
        <w:spacing w:before="0" w:after="0" w:line="259" w:lineRule="auto"/>
        <w:ind w:left="160" w:hanging="160"/>
        <w:snapToGrid w:val="0"/>
      </w:pPr>
      <w:r>
        <w:rPr>
          <w:rFonts w:ascii="맑은 고딕" w:hAnsi="맑은 고딕" w:eastAsia="맑은 고딕"/>
          <w:b/>
          <w:sz w:val="15"/>
          <w:u w:val="none"/>
        </w:rPr>
        <w:t>35-8</w:t>
      </w:r>
      <w:r>
        <w:rPr>
          <w:rFonts w:ascii="맑은 고딕" w:hAnsi="맑은 고딕" w:eastAsia="맑은 고딕"/>
          <w:b w:val="0"/>
          <w:sz w:val="15"/>
          <w:u w:val="none"/>
        </w:rPr>
        <w:t xml:space="preserve"> 정답 ③</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35-1</w:t>
      </w:r>
      <w:r>
        <w:rPr>
          <w:rFonts w:ascii="맑은 고딕" w:hAnsi="맑은 고딕" w:eastAsia="맑은 고딕"/>
          <w:b w:val="0"/>
          <w:sz w:val="14"/>
          <w:u w:val="none"/>
        </w:rPr>
        <w:t xml:space="preserve"> </w:t>
      </w:r>
      <w:r>
        <w:rPr>
          <w:rFonts w:ascii="맑은 고딕" w:hAnsi="맑은 고딕" w:eastAsia="맑은 고딕"/>
          <w:b/>
          <w:sz w:val="14"/>
          <w:u w:val="none"/>
        </w:rPr>
        <w:t>(C) [절대화]</w:t>
      </w:r>
      <w:r>
        <w:rPr>
          <w:rFonts w:ascii="맑은 고딕" w:hAnsi="맑은 고딕" w:eastAsia="맑은 고딕"/>
          <w:b w:val="0"/>
          <w:sz w:val="14"/>
          <w:u w:val="none"/>
        </w:rPr>
        <w:t xml:space="preserve"> only/solely를 놓치면 ‘대체’로 읽히지만 글은 ‘그것만으로는 안 된다’는 것. </w:t>
      </w:r>
      <w:r>
        <w:rPr>
          <w:rFonts w:ascii="맑은 고딕" w:hAnsi="맑은 고딕" w:eastAsia="맑은 고딕"/>
          <w:b/>
          <w:sz w:val="14"/>
          <w:u w:val="none"/>
        </w:rPr>
        <w:t>(D) [수일치 함정]</w:t>
      </w:r>
      <w:r>
        <w:rPr>
          <w:rFonts w:ascii="맑은 고딕" w:hAnsi="맑은 고딕" w:eastAsia="맑은 고딕"/>
          <w:b w:val="0"/>
          <w:sz w:val="14"/>
          <w:u w:val="none"/>
        </w:rPr>
        <w:t xml:space="preserve"> along with로 이어진 명사는 주어가 아니다 — 흔한 함정. </w:t>
      </w:r>
      <w:r>
        <w:rPr>
          <w:rFonts w:ascii="맑은 고딕" w:hAnsi="맑은 고딕" w:eastAsia="맑은 고딕"/>
          <w:b/>
          <w:sz w:val="14"/>
          <w:u w:val="none"/>
        </w:rPr>
        <w:t>(B) [decoy]</w:t>
      </w:r>
      <w:r>
        <w:rPr>
          <w:rFonts w:ascii="맑은 고딕" w:hAnsi="맑은 고딕" w:eastAsia="맑은 고딕"/>
          <w:b w:val="0"/>
          <w:sz w:val="14"/>
          <w:u w:val="none"/>
        </w:rPr>
        <w:t xml:space="preserve"> 뒤에 into가 있어 능동 building처럼 보이지만 ‘built into ~에 내장된’.</w:t>
      </w:r>
    </w:p>
    <w:p>
      <w:pPr>
        <w:spacing w:before="0" w:after="20" w:line="259" w:lineRule="auto"/>
        <w:jc w:val="both"/>
        <w:snapToGrid w:val="0"/>
      </w:pPr>
      <w:r>
        <w:rPr>
          <w:rFonts w:ascii="맑은 고딕" w:hAnsi="맑은 고딕" w:eastAsia="맑은 고딕"/>
          <w:b/>
          <w:sz w:val="14"/>
          <w:u w:val="none"/>
        </w:rPr>
        <w:t>35-2</w:t>
      </w:r>
      <w:r>
        <w:rPr>
          <w:rFonts w:ascii="맑은 고딕" w:hAnsi="맑은 고딕" w:eastAsia="맑은 고딕"/>
          <w:b w:val="0"/>
          <w:sz w:val="14"/>
          <w:u w:val="none"/>
        </w:rPr>
        <w:t xml:space="preserve"> </w:t>
      </w:r>
      <w:r>
        <w:rPr>
          <w:rFonts w:ascii="맑은 고딕" w:hAnsi="맑은 고딕" w:eastAsia="맑은 고딕"/>
          <w:b/>
          <w:sz w:val="14"/>
          <w:u w:val="none"/>
        </w:rPr>
        <w:t>① [한 끗]</w:t>
      </w:r>
      <w:r>
        <w:rPr>
          <w:rFonts w:ascii="맑은 고딕" w:hAnsi="맑은 고딕" w:eastAsia="맑은 고딕"/>
          <w:b w:val="0"/>
          <w:sz w:val="14"/>
          <w:u w:val="none"/>
        </w:rPr>
        <w:t xml:space="preserve"> (A)는 맞지만 (B) worker면 삽입문의 no longer A but B 대비가 무너진다(worker ↔ worker). </w:t>
      </w:r>
      <w:r>
        <w:rPr>
          <w:rFonts w:ascii="맑은 고딕" w:hAnsi="맑은 고딕" w:eastAsia="맑은 고딕"/>
          <w:b/>
          <w:sz w:val="14"/>
          <w:u w:val="none"/>
        </w:rPr>
        <w:t>② [방향 역전]</w:t>
      </w:r>
      <w:r>
        <w:rPr>
          <w:rFonts w:ascii="맑은 고딕" w:hAnsi="맑은 고딕" w:eastAsia="맑은 고딕"/>
          <w:b w:val="0"/>
          <w:sz w:val="14"/>
          <w:u w:val="none"/>
        </w:rPr>
        <w:t xml:space="preserve"> personal changes는 글이 벗어나려는 쪽. </w:t>
      </w:r>
      <w:r>
        <w:rPr>
          <w:rFonts w:ascii="맑은 고딕" w:hAnsi="맑은 고딕" w:eastAsia="맑은 고딕"/>
          <w:b/>
          <w:sz w:val="14"/>
          <w:u w:val="none"/>
        </w:rPr>
        <w:t>⑤</w:t>
      </w:r>
      <w:r>
        <w:rPr>
          <w:rFonts w:ascii="맑은 고딕" w:hAnsi="맑은 고딕" w:eastAsia="맑은 고딕"/>
          <w:b w:val="0"/>
          <w:sz w:val="14"/>
          <w:u w:val="none"/>
        </w:rPr>
        <w:t xml:space="preserve"> economy는 (B)의 후보처럼 보이지만 삽입문의 this는 ‘이 노동자’와 짝을 이루는 ‘이 일터’.</w:t>
      </w:r>
    </w:p>
    <w:p>
      <w:pPr>
        <w:spacing w:before="0" w:after="20" w:line="259" w:lineRule="auto"/>
        <w:jc w:val="both"/>
        <w:snapToGrid w:val="0"/>
      </w:pPr>
      <w:r>
        <w:rPr>
          <w:rFonts w:ascii="맑은 고딕" w:hAnsi="맑은 고딕" w:eastAsia="맑은 고딕"/>
          <w:b/>
          <w:sz w:val="14"/>
          <w:u w:val="none"/>
        </w:rPr>
        <w:t>35-3</w:t>
      </w:r>
      <w:r>
        <w:rPr>
          <w:rFonts w:ascii="맑은 고딕" w:hAnsi="맑은 고딕" w:eastAsia="맑은 고딕"/>
          <w:b w:val="0"/>
          <w:sz w:val="14"/>
          <w:u w:val="none"/>
        </w:rPr>
        <w:t xml:space="preserve"> </w:t>
      </w:r>
      <w:r>
        <w:rPr>
          <w:rFonts w:ascii="맑은 고딕" w:hAnsi="맑은 고딕" w:eastAsia="맑은 고딕"/>
          <w:b/>
          <w:sz w:val="14"/>
          <w:u w:val="none"/>
        </w:rPr>
        <w:t>③ [주체 교체]</w:t>
      </w:r>
      <w:r>
        <w:rPr>
          <w:rFonts w:ascii="맑은 고딕" w:hAnsi="맑은 고딕" w:eastAsia="맑은 고딕"/>
          <w:b w:val="0"/>
          <w:sz w:val="14"/>
          <w:u w:val="none"/>
        </w:rPr>
        <w:t xml:space="preserve"> 개인의 행동으로 돌린 선지 — 글은 개인에게 부담을 지우는 것에서 벗어나는 방향. </w:t>
      </w:r>
      <w:r>
        <w:rPr>
          <w:rFonts w:ascii="맑은 고딕" w:hAnsi="맑은 고딕" w:eastAsia="맑은 고딕"/>
          <w:b/>
          <w:sz w:val="14"/>
          <w:u w:val="none"/>
        </w:rPr>
        <w:t>① [정도 과장]</w:t>
      </w:r>
      <w:r>
        <w:rPr>
          <w:rFonts w:ascii="맑은 고딕" w:hAnsi="맑은 고딕" w:eastAsia="맑은 고딕"/>
          <w:b w:val="0"/>
          <w:sz w:val="14"/>
          <w:u w:val="none"/>
        </w:rPr>
        <w:t xml:space="preserve"> ‘가능하게 한다’를 ‘강제한다’로 밀어붙였다. </w:t>
      </w:r>
      <w:r>
        <w:rPr>
          <w:rFonts w:ascii="맑은 고딕" w:hAnsi="맑은 고딕" w:eastAsia="맑은 고딕"/>
          <w:b/>
          <w:sz w:val="14"/>
          <w:u w:val="none"/>
        </w:rPr>
        <w:t>④</w:t>
      </w:r>
      <w:r>
        <w:rPr>
          <w:rFonts w:ascii="맑은 고딕" w:hAnsi="맑은 고딕" w:eastAsia="맑은 고딕"/>
          <w:b w:val="0"/>
          <w:sz w:val="14"/>
          <w:u w:val="none"/>
        </w:rPr>
        <w:t xml:space="preserve"> 임상의는 평가 방식이 바뀌는 주체이지 운영 결정자가 아니다.</w:t>
      </w:r>
    </w:p>
    <w:p>
      <w:pPr>
        <w:spacing w:before="0" w:after="20" w:line="259" w:lineRule="auto"/>
        <w:jc w:val="both"/>
        <w:snapToGrid w:val="0"/>
      </w:pPr>
      <w:r>
        <w:rPr>
          <w:rFonts w:ascii="맑은 고딕" w:hAnsi="맑은 고딕" w:eastAsia="맑은 고딕"/>
          <w:b/>
          <w:sz w:val="14"/>
          <w:u w:val="none"/>
        </w:rPr>
        <w:t>35-4</w:t>
      </w:r>
      <w:r>
        <w:rPr>
          <w:rFonts w:ascii="맑은 고딕" w:hAnsi="맑은 고딕" w:eastAsia="맑은 고딕"/>
          <w:b w:val="0"/>
          <w:sz w:val="14"/>
          <w:u w:val="none"/>
        </w:rPr>
        <w:t xml:space="preserve"> </w:t>
      </w:r>
      <w:r>
        <w:rPr>
          <w:rFonts w:ascii="맑은 고딕" w:hAnsi="맑은 고딕" w:eastAsia="맑은 고딕"/>
          <w:b/>
          <w:sz w:val="14"/>
          <w:u w:val="none"/>
        </w:rPr>
        <w:t>① [decoy처럼 보이는 정답]</w:t>
      </w:r>
      <w:r>
        <w:rPr>
          <w:rFonts w:ascii="맑은 고딕" w:hAnsi="맑은 고딕" w:eastAsia="맑은 고딕"/>
          <w:b w:val="0"/>
          <w:sz w:val="14"/>
          <w:u w:val="none"/>
        </w:rPr>
        <w:t xml:space="preserve"> 앞 동사 reframes와 시제를 맞춘다고 과거형으로 보기 쉽지만, 분사구문은 시제가 아니라 능동·수동으로 고른다. </w:t>
      </w:r>
      <w:r>
        <w:rPr>
          <w:rFonts w:ascii="맑은 고딕" w:hAnsi="맑은 고딕" w:eastAsia="맑은 고딕"/>
          <w:b/>
          <w:sz w:val="14"/>
          <w:u w:val="none"/>
        </w:rPr>
        <w:t>⑤ [decoy]</w:t>
      </w:r>
      <w:r>
        <w:rPr>
          <w:rFonts w:ascii="맑은 고딕" w:hAnsi="맑은 고딕" w:eastAsia="맑은 고딕"/>
          <w:b w:val="0"/>
          <w:sz w:val="14"/>
          <w:u w:val="none"/>
        </w:rPr>
        <w:t xml:space="preserve"> rather than 뒤에 원형 place가 와야 한다고 착각 — 앞 동사가 opens(현재)이므로 -ing가 자연. ③만 고르면 선지 없음, ⑤까지 넣으면 ⑤.</w:t>
      </w:r>
    </w:p>
    <w:p>
      <w:pPr>
        <w:spacing w:before="0" w:after="20" w:line="259" w:lineRule="auto"/>
        <w:jc w:val="both"/>
        <w:snapToGrid w:val="0"/>
      </w:pPr>
      <w:r>
        <w:rPr>
          <w:rFonts w:ascii="맑은 고딕" w:hAnsi="맑은 고딕" w:eastAsia="맑은 고딕"/>
          <w:b/>
          <w:sz w:val="14"/>
          <w:u w:val="none"/>
        </w:rPr>
        <w:t>35-5</w:t>
      </w:r>
      <w:r>
        <w:rPr>
          <w:rFonts w:ascii="맑은 고딕" w:hAnsi="맑은 고딕" w:eastAsia="맑은 고딕"/>
          <w:b w:val="0"/>
          <w:sz w:val="14"/>
          <w:u w:val="none"/>
        </w:rPr>
        <w:t xml:space="preserve"> </w:t>
      </w:r>
      <w:r>
        <w:rPr>
          <w:rFonts w:ascii="맑은 고딕" w:hAnsi="맑은 고딕" w:eastAsia="맑은 고딕"/>
          <w:b/>
          <w:sz w:val="14"/>
          <w:u w:val="none"/>
        </w:rPr>
        <w:t>① [주체 교체 + 절대어]</w:t>
      </w:r>
      <w:r>
        <w:rPr>
          <w:rFonts w:ascii="맑은 고딕" w:hAnsi="맑은 고딕" w:eastAsia="맑은 고딕"/>
          <w:b w:val="0"/>
          <w:sz w:val="14"/>
          <w:u w:val="none"/>
        </w:rPr>
        <w:t xml:space="preserve"> clinicians가 본문에 있어 참처럼 보이지만 ‘solely … on their own’은 글이 벗어나려는 개인 책임 모델. </w:t>
      </w:r>
      <w:r>
        <w:rPr>
          <w:rFonts w:ascii="맑은 고딕" w:hAnsi="맑은 고딕" w:eastAsia="맑은 고딕"/>
          <w:b/>
          <w:sz w:val="14"/>
          <w:u w:val="none"/>
        </w:rPr>
        <w:t>④ [한 끗 정답지]</w:t>
      </w:r>
      <w:r>
        <w:rPr>
          <w:rFonts w:ascii="맑은 고딕" w:hAnsi="맑은 고딕" w:eastAsia="맑은 고딕"/>
          <w:b w:val="0"/>
          <w:sz w:val="14"/>
          <w:u w:val="none"/>
        </w:rPr>
        <w:t xml:space="preserve"> a move away from seeing burnout as a personal weakness — 과거의 시각으로 참. </w:t>
      </w:r>
      <w:r>
        <w:rPr>
          <w:rFonts w:ascii="맑은 고딕" w:hAnsi="맑은 고딕" w:eastAsia="맑은 고딕"/>
          <w:b/>
          <w:sz w:val="14"/>
          <w:u w:val="none"/>
        </w:rPr>
        <w:t>②</w:t>
      </w:r>
      <w:r>
        <w:rPr>
          <w:rFonts w:ascii="맑은 고딕" w:hAnsi="맑은 고딕" w:eastAsia="맑은 고딕"/>
          <w:b w:val="0"/>
          <w:sz w:val="14"/>
          <w:u w:val="none"/>
        </w:rPr>
        <w:t xml:space="preserve"> what organizations are expected to do about it — 참.</w:t>
      </w:r>
    </w:p>
    <w:p>
      <w:pPr>
        <w:spacing w:before="0" w:after="20" w:line="259" w:lineRule="auto"/>
        <w:jc w:val="both"/>
        <w:snapToGrid w:val="0"/>
      </w:pPr>
      <w:r>
        <w:rPr>
          <w:rFonts w:ascii="맑은 고딕" w:hAnsi="맑은 고딕" w:eastAsia="맑은 고딕"/>
          <w:b/>
          <w:sz w:val="14"/>
          <w:u w:val="none"/>
        </w:rPr>
        <w:t>35-6</w:t>
      </w:r>
      <w:r>
        <w:rPr>
          <w:rFonts w:ascii="맑은 고딕" w:hAnsi="맑은 고딕" w:eastAsia="맑은 고딕"/>
          <w:b w:val="0"/>
          <w:sz w:val="14"/>
          <w:u w:val="none"/>
        </w:rPr>
        <w:t xml:space="preserve"> </w:t>
      </w:r>
      <w:r>
        <w:rPr>
          <w:rFonts w:ascii="맑은 고딕" w:hAnsi="맑은 고딕" w:eastAsia="맑은 고딕"/>
          <w:b/>
          <w:sz w:val="14"/>
          <w:u w:val="none"/>
        </w:rPr>
        <w:t>② [방향 역전]</w:t>
      </w:r>
      <w:r>
        <w:rPr>
          <w:rFonts w:ascii="맑은 고딕" w:hAnsi="맑은 고딕" w:eastAsia="맑은 고딕"/>
          <w:b w:val="0"/>
          <w:sz w:val="14"/>
          <w:u w:val="none"/>
        </w:rPr>
        <w:t xml:space="preserve"> 개인 회복력은 글이 벗어나려는 시각. </w:t>
      </w:r>
      <w:r>
        <w:rPr>
          <w:rFonts w:ascii="맑은 고딕" w:hAnsi="맑은 고딕" w:eastAsia="맑은 고딕"/>
          <w:b/>
          <w:sz w:val="14"/>
          <w:u w:val="none"/>
        </w:rPr>
        <w:t>④ [절대어 + 부분]</w:t>
      </w:r>
      <w:r>
        <w:rPr>
          <w:rFonts w:ascii="맑은 고딕" w:hAnsi="맑은 고딕" w:eastAsia="맑은 고딕"/>
          <w:b w:val="0"/>
          <w:sz w:val="14"/>
          <w:u w:val="none"/>
        </w:rPr>
        <w:t xml:space="preserve"> 경제 조건은 세 요인 중 하나이고 ‘최대’라는 서열은 없다. </w:t>
      </w:r>
      <w:r>
        <w:rPr>
          <w:rFonts w:ascii="맑은 고딕" w:hAnsi="맑은 고딕" w:eastAsia="맑은 고딕"/>
          <w:b/>
          <w:sz w:val="14"/>
          <w:u w:val="none"/>
        </w:rPr>
        <w:t>⑤ [부분 왜곡]</w:t>
      </w:r>
      <w:r>
        <w:rPr>
          <w:rFonts w:ascii="맑은 고딕" w:hAnsi="맑은 고딕" w:eastAsia="맑은 고딕"/>
          <w:b w:val="0"/>
          <w:sz w:val="14"/>
          <w:u w:val="none"/>
        </w:rPr>
        <w:t xml:space="preserve"> 평가 방식이 ‘재구성’된다고 했을 뿐 정확도 향상은 없다.</w:t>
      </w:r>
    </w:p>
    <w:p>
      <w:pPr>
        <w:spacing w:before="0" w:after="20" w:line="259" w:lineRule="auto"/>
        <w:jc w:val="both"/>
        <w:snapToGrid w:val="0"/>
      </w:pPr>
      <w:r>
        <w:rPr>
          <w:rFonts w:ascii="맑은 고딕" w:hAnsi="맑은 고딕" w:eastAsia="맑은 고딕"/>
          <w:b/>
          <w:sz w:val="14"/>
          <w:u w:val="none"/>
        </w:rPr>
        <w:t>35-7</w:t>
      </w:r>
      <w:r>
        <w:rPr>
          <w:rFonts w:ascii="맑은 고딕" w:hAnsi="맑은 고딕" w:eastAsia="맑은 고딕"/>
          <w:b w:val="0"/>
          <w:sz w:val="14"/>
          <w:u w:val="none"/>
        </w:rPr>
        <w:t xml:space="preserve"> </w:t>
      </w:r>
      <w:r>
        <w:rPr>
          <w:rFonts w:ascii="맑은 고딕" w:hAnsi="맑은 고딕" w:eastAsia="맑은 고딕"/>
          <w:b/>
          <w:sz w:val="14"/>
          <w:u w:val="none"/>
        </w:rPr>
        <w:t>⑤ [한 끗]</w:t>
      </w:r>
      <w:r>
        <w:rPr>
          <w:rFonts w:ascii="맑은 고딕" w:hAnsi="맑은 고딕" w:eastAsia="맑은 고딕"/>
          <w:b w:val="0"/>
          <w:sz w:val="14"/>
          <w:u w:val="none"/>
        </w:rPr>
        <w:t xml:space="preserve"> ‘개인에게만’이 부정적으로 들려 틀린 듯하지만, rather than 뒤의 비판 대상이므로 solely가 맞다. </w:t>
      </w:r>
      <w:r>
        <w:rPr>
          <w:rFonts w:ascii="맑은 고딕" w:hAnsi="맑은 고딕" w:eastAsia="맑은 고딕"/>
          <w:b/>
          <w:sz w:val="14"/>
          <w:u w:val="none"/>
        </w:rPr>
        <w:t>① [어휘 함정]</w:t>
      </w:r>
      <w:r>
        <w:rPr>
          <w:rFonts w:ascii="맑은 고딕" w:hAnsi="맑은 고딕" w:eastAsia="맑은 고딕"/>
          <w:b w:val="0"/>
          <w:sz w:val="14"/>
          <w:u w:val="none"/>
        </w:rPr>
        <w:t xml:space="preserve"> 임상 평가 이야기 뒤라 treatment가 자연스러워 보이지만 structural interventions와 짝을 이루는 것은 ‘예방’.</w:t>
      </w:r>
    </w:p>
    <w:p>
      <w:pPr>
        <w:spacing w:before="0" w:after="20" w:line="259" w:lineRule="auto"/>
        <w:jc w:val="both"/>
        <w:snapToGrid w:val="0"/>
      </w:pPr>
      <w:r>
        <w:rPr>
          <w:rFonts w:ascii="맑은 고딕" w:hAnsi="맑은 고딕" w:eastAsia="맑은 고딕"/>
          <w:b/>
          <w:sz w:val="14"/>
          <w:u w:val="none"/>
        </w:rPr>
        <w:t>35-서1</w:t>
      </w:r>
      <w:r>
        <w:rPr>
          <w:rFonts w:ascii="맑은 고딕" w:hAnsi="맑은 고딕" w:eastAsia="맑은 고딕"/>
          <w:b w:val="0"/>
          <w:sz w:val="14"/>
          <w:u w:val="none"/>
        </w:rPr>
        <w:t xml:space="preserve"> </w:t>
      </w:r>
      <w:r>
        <w:rPr>
          <w:rFonts w:ascii="맑은 고딕" w:hAnsi="맑은 고딕" w:eastAsia="맑은 고딕"/>
          <w:b/>
          <w:sz w:val="14"/>
          <w:u w:val="none"/>
        </w:rPr>
        <w:t>That the WHO’s recognition of burnout</w:t>
      </w:r>
      <w:r>
        <w:rPr>
          <w:rFonts w:ascii="맑은 고딕" w:hAnsi="맑은 고딕" w:eastAsia="맑은 고딕"/>
          <w:b w:val="0"/>
          <w:sz w:val="14"/>
          <w:u w:val="none"/>
        </w:rPr>
        <w:t xml:space="preserve"> ✕ — that절에는 주어+동사가 필요하고 of·by 사용 금지. </w:t>
      </w:r>
      <w:r>
        <w:rPr>
          <w:rFonts w:ascii="맑은 고딕" w:hAnsi="맑은 고딕" w:eastAsia="맑은 고딕"/>
          <w:b/>
          <w:sz w:val="14"/>
          <w:u w:val="none"/>
        </w:rPr>
        <w:t>That the WHO recognized burnout … in 2019, it marked</w:t>
      </w:r>
      <w:r>
        <w:rPr>
          <w:rFonts w:ascii="맑은 고딕" w:hAnsi="맑은 고딕" w:eastAsia="맑은 고딕"/>
          <w:b w:val="0"/>
          <w:sz w:val="14"/>
          <w:u w:val="none"/>
        </w:rPr>
        <w:t xml:space="preserve"> ✕ — that절이 주어이므로 it 중복. </w:t>
      </w:r>
      <w:r>
        <w:rPr>
          <w:rFonts w:ascii="맑은 고딕" w:hAnsi="맑은 고딕" w:eastAsia="맑은 고딕"/>
          <w:b/>
          <w:sz w:val="14"/>
          <w:u w:val="none"/>
        </w:rPr>
        <w:t>recognizing</w:t>
      </w:r>
      <w:r>
        <w:rPr>
          <w:rFonts w:ascii="맑은 고딕" w:hAnsi="맑은 고딕" w:eastAsia="맑은 고딕"/>
          <w:b w:val="0"/>
          <w:sz w:val="14"/>
          <w:u w:val="none"/>
        </w:rPr>
        <w:t xml:space="preserve"> ✕ — 조건의 ‘동사’로 바꾸기(과거 recognized, marked와 시제 일치). [채점] that절 주어 전환 1.5 / 어순·보기 전부 사용 1 / 철자·단어 수 0.5.</w:t>
      </w:r>
    </w:p>
    <w:p>
      <w:pPr>
        <w:spacing w:before="0" w:after="20" w:line="259" w:lineRule="auto"/>
        <w:jc w:val="both"/>
        <w:snapToGrid w:val="0"/>
      </w:pPr>
      <w:r>
        <w:rPr>
          <w:rFonts w:ascii="맑은 고딕" w:hAnsi="맑은 고딕" w:eastAsia="맑은 고딕"/>
          <w:b/>
          <w:sz w:val="14"/>
          <w:u w:val="none"/>
        </w:rPr>
        <w:t>35-서2</w:t>
      </w:r>
      <w:r>
        <w:rPr>
          <w:rFonts w:ascii="맑은 고딕" w:hAnsi="맑은 고딕" w:eastAsia="맑은 고딕"/>
          <w:b w:val="0"/>
          <w:sz w:val="14"/>
          <w:u w:val="none"/>
        </w:rPr>
        <w:t xml:space="preserve"> </w:t>
      </w:r>
      <w:r>
        <w:rPr>
          <w:rFonts w:ascii="맑은 고딕" w:hAnsi="맑은 고딕" w:eastAsia="맑은 고딕"/>
          <w:b/>
          <w:sz w:val="14"/>
          <w:u w:val="none"/>
        </w:rPr>
        <w:t>Q2에 ‘not to rely on individual fixes’만 쓰면 0.5</w:t>
      </w:r>
      <w:r>
        <w:rPr>
          <w:rFonts w:ascii="맑은 고딕" w:hAnsi="맑은 고딕" w:eastAsia="맑은 고딕"/>
          <w:b w:val="0"/>
          <w:sz w:val="14"/>
          <w:u w:val="none"/>
        </w:rPr>
        <w:t xml:space="preserve"> — 질문은 ‘대신 무엇을 하라고 권장되는가’. </w:t>
      </w:r>
      <w:r>
        <w:rPr>
          <w:rFonts w:ascii="맑은 고딕" w:hAnsi="맑은 고딕" w:eastAsia="맑은 고딕"/>
          <w:b/>
          <w:sz w:val="14"/>
          <w:u w:val="none"/>
        </w:rPr>
        <w:t>Q1에 ‘It was a turning point’</w:t>
      </w:r>
      <w:r>
        <w:rPr>
          <w:rFonts w:ascii="맑은 고딕" w:hAnsi="맑은 고딕" w:eastAsia="맑은 고딕"/>
          <w:b w:val="0"/>
          <w:sz w:val="14"/>
          <w:u w:val="none"/>
        </w:rPr>
        <w:t xml:space="preserve"> ✕ — 결과가 아니라 WHO가 한 일. </w:t>
      </w:r>
      <w:r>
        <w:rPr>
          <w:rFonts w:ascii="맑은 고딕" w:hAnsi="맑은 고딕" w:eastAsia="맑은 고딕"/>
          <w:b/>
          <w:sz w:val="14"/>
          <w:u w:val="none"/>
        </w:rPr>
        <w:t>Q3에 ‘Because burnout is a structural issue’</w:t>
      </w:r>
      <w:r>
        <w:rPr>
          <w:rFonts w:ascii="맑은 고딕" w:hAnsi="맑은 고딕" w:eastAsia="맑은 고딕"/>
          <w:b w:val="0"/>
          <w:sz w:val="14"/>
          <w:u w:val="none"/>
        </w:rPr>
        <w:t xml:space="preserve"> 0.5 — 이유의 핵심(시스템 수준 행동 가능)이 빠짐. [채점] 각 1점: 핵심 내용 0.7 + 완전한 문장 0.3, 철자·수일치 오류 −0.2.</w:t>
      </w:r>
    </w:p>
    <w:p>
      <w:pPr>
        <w:spacing w:before="0" w:after="20" w:line="259" w:lineRule="auto"/>
        <w:jc w:val="both"/>
        <w:snapToGrid w:val="0"/>
      </w:pPr>
      <w:r>
        <w:rPr>
          <w:rFonts w:ascii="맑은 고딕" w:hAnsi="맑은 고딕" w:eastAsia="맑은 고딕"/>
          <w:b/>
          <w:sz w:val="14"/>
          <w:u w:val="none"/>
        </w:rPr>
        <w:t>35-8</w:t>
      </w:r>
      <w:r>
        <w:rPr>
          <w:rFonts w:ascii="맑은 고딕" w:hAnsi="맑은 고딕" w:eastAsia="맑은 고딕"/>
          <w:b w:val="0"/>
          <w:sz w:val="14"/>
          <w:u w:val="none"/>
        </w:rPr>
        <w:t xml:space="preserve"> </w:t>
      </w:r>
      <w:r>
        <w:rPr>
          <w:rFonts w:ascii="맑은 고딕" w:hAnsi="맑은 고딕" w:eastAsia="맑은 고딕"/>
          <w:b/>
          <w:sz w:val="14"/>
          <w:u w:val="none"/>
        </w:rPr>
        <w:t>④ [한 끗]</w:t>
      </w:r>
      <w:r>
        <w:rPr>
          <w:rFonts w:ascii="맑은 고딕" w:hAnsi="맑은 고딕" w:eastAsia="맑은 고딕"/>
          <w:b w:val="0"/>
          <w:sz w:val="14"/>
          <w:u w:val="none"/>
        </w:rPr>
        <w:t xml:space="preserve"> S5 뒤도 ‘구조적’이라는 말이 이어져 자연스러워 보이지만, 그러면 This reframing이 받아야 할 ‘전환’ 문장과 결론 사이에 권고문이 끼어 결론의 지시어가 어긋난다. </w:t>
      </w:r>
      <w:r>
        <w:rPr>
          <w:rFonts w:ascii="맑은 고딕" w:hAnsi="맑은 고딕" w:eastAsia="맑은 고딕"/>
          <w:b/>
          <w:sz w:val="14"/>
          <w:u w:val="none"/>
        </w:rPr>
        <w:t>②</w:t>
      </w:r>
      <w:r>
        <w:rPr>
          <w:rFonts w:ascii="맑은 고딕" w:hAnsi="맑은 고딕" w:eastAsia="맑은 고딕"/>
          <w:b w:val="0"/>
          <w:sz w:val="14"/>
          <w:u w:val="none"/>
        </w:rPr>
        <w:t xml:space="preserve"> This designation은 S1의 recognition을 받으므로 S1 바로 뒤에 와야 한다.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2019년 WHO가 번아웃을 직업적 현상으로 인정한 것은 직장 정신 건강에 관한 담론에서 중요한 순간을 나타냈다. 이러한 지정은 임상적 평가와 조직의 책임을 재구성하여, 관심을 시스템 차원의 예방으로 옮긴다. 그것은 고용주들이 오직 개인 수준의 해결책에만 의존하기보다는 구조적 개입을 채택하도록 이끈다. 그것은 번아웃을 개인적 실패나 개인의 회복 탄력성의 문제로 보는 것에서 벗어나, 조직 문화, 지도부의 관행, 그리고 노동의 더 넓은 사회 경제적 맥락에 뿌리를 둔 구조적 문제로 이해하는 쪽으로의 전환을 나타냈다. 이러한 재구성은 필수적인데, 그것이 개인에게만 대처하거나 적응하도록 부담을 지우기보다는 시스템 차원의 개입과 정책 수준의 변화로 향하는 문을 열어 주기 때문이다.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어떤 도시가 교통사고를 부주의한 운전자의 잘못으로 취급하기를 그만두었을 때 비슷한 일이 일어났다. 충돌 사고가 도로 설계의 문제로 여겨지자, 관심은 개인을 처벌하는 것에서 위험한 교차로를 고치는 것으로 옮겨 갔다. 기술자들은 운전자에게 그저 더 조심하라고 말하기보다 건널목을 다시 설계하도록 요청받았다. 그 변화가 중요했던 이유는, 책임을 실제로 조치를 취할 수 있는 자리 — 운전자 한 사람 한 사람이 아니라 시스템 — 에 두었기 때문이다.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