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rPr>
          <w:b/>
          <w:bCs/>
          <w:color w:val="1F4E79"/>
          <w:sz w:val="40"/>
          <w:szCs w:val="40"/>
        </w:rPr>
        <w:t xml:space="preserve">Summary of Module 1</w:t>
      </w:r>
    </w:p>
    <w:p>
      <w:pPr>
        <w:spacing w:after="80"/>
        <w:jc w:val="center"/>
      </w:pPr>
      <w:r>
        <w:rPr>
          <w:b/>
          <w:bCs/>
          <w:color w:val="2E75B6"/>
          <w:sz w:val="28"/>
          <w:szCs w:val="28"/>
        </w:rPr>
        <w:t xml:space="preserve">Security Architecture &amp; Cloud Infrastructure</w:t>
      </w:r>
    </w:p>
    <w:p>
      <w:pPr>
        <w:spacing w:after="200"/>
        <w:jc w:val="center"/>
      </w:pPr>
      <w:r>
        <w:rPr>
          <w:i/>
          <w:iCs/>
          <w:color w:val="666666"/>
          <w:sz w:val="20"/>
          <w:szCs w:val="20"/>
        </w:rPr>
        <w:t xml:space="preserve">Multi-cloud security design, infrastructure assessment, and remediation planning</w:t>
      </w:r>
    </w:p>
    <w:p>
      <w:pPr>
        <w:spacing w:after="400"/>
        <w:jc w:val="center"/>
      </w:pPr>
      <w:r>
        <w:rPr>
          <w:color w:val="444444"/>
          <w:sz w:val="18"/>
          <w:szCs w:val="18"/>
        </w:rPr>
        <w:t xml:space="preserve">Client: Ajaia AI Consultancy  |  Scope: GCP (Primary) &amp; Azure (Secondary)  |  Timeline: 90 Days</w:t>
      </w:r>
    </w:p>
    <w:p>
      <w:pPr>
        <w:pStyle w:val="Heading1"/>
      </w:pPr>
      <w:r>
        <w:t xml:space="preserve">1. Executive Overview</w:t>
      </w:r>
    </w:p>
    <w:p>
      <w:pPr>
        <w:spacing w:after="120"/>
      </w:pPr>
      <w:r>
        <w:t xml:space="preserve">This structured result presents a prioritized risk and remediation plan for Security Architecture and Cloud Infrastructure across Google Cloud Platform (GCP) and Azure. The plan focuses on HIPAA-ePHI safeguards, access control, network segmentation, software supply chain, AKS isolation, detection/recovery, and cross-cloud federation.</w:t>
      </w:r>
    </w:p>
    <w:p>
      <w:pPr>
        <w:pStyle w:val="Heading2"/>
      </w:pPr>
      <w:r>
        <w:t xml:space="preserve">Overall Security Posture Addressed</w:t>
      </w:r>
    </w:p>
    <w:p>
      <w:pPr>
        <w:pStyle w:val="ListParagraph"/>
        <w:numPr>
          <w:ilvl w:val="0"/>
          <w:numId w:val="2"/>
        </w:numPr>
      </w:pPr>
      <w:r>
        <w:t xml:space="preserve">Eliminate standing privileged identities and leaked credentials.</w:t>
      </w:r>
    </w:p>
    <w:p>
      <w:pPr>
        <w:pStyle w:val="ListParagraph"/>
        <w:numPr>
          <w:ilvl w:val="0"/>
          <w:numId w:val="2"/>
        </w:numPr>
      </w:pPr>
      <w:r>
        <w:t xml:space="preserve">Remove public internet exposure of critical data-plane components (e.g., Cloud SQL).</w:t>
      </w:r>
    </w:p>
    <w:p>
      <w:pPr>
        <w:pStyle w:val="ListParagraph"/>
        <w:numPr>
          <w:ilvl w:val="0"/>
          <w:numId w:val="2"/>
        </w:numPr>
      </w:pPr>
      <w:r>
        <w:t xml:space="preserve">Harden software supply chain with image provenance, signing, and immutability.</w:t>
      </w:r>
    </w:p>
    <w:p>
      <w:pPr>
        <w:pStyle w:val="ListParagraph"/>
        <w:numPr>
          <w:ilvl w:val="0"/>
          <w:numId w:val="2"/>
        </w:numPr>
      </w:pPr>
      <w:r>
        <w:t xml:space="preserve">Enforce strong AKS hardening, namespace isolation, and identity management.</w:t>
      </w:r>
    </w:p>
    <w:p>
      <w:pPr>
        <w:pStyle w:val="ListParagraph"/>
        <w:numPr>
          <w:ilvl w:val="0"/>
          <w:numId w:val="2"/>
        </w:numPr>
      </w:pPr>
      <w:r>
        <w:t xml:space="preserve">Improve detection, logging, backup, and restore capabilities.</w:t>
      </w:r>
    </w:p>
    <w:p>
      <w:pPr>
        <w:pStyle w:val="ListParagraph"/>
        <w:numPr>
          <w:ilvl w:val="0"/>
          <w:numId w:val="2"/>
        </w:numPr>
      </w:pPr>
      <w:r>
        <w:t xml:space="preserve">Implement hub-and-spoke topology with dedicated VPCs, private connectivity, and controlled inter-cloud paths.</w:t>
      </w:r>
    </w:p>
    <w:p>
      <w:pPr>
        <w:pStyle w:val="ListParagraph"/>
        <w:numPr>
          <w:ilvl w:val="0"/>
          <w:numId w:val="2"/>
        </w:numPr>
      </w:pPr>
      <w:r>
        <w:t xml:space="preserve">Federate identities between Entra ID and GCP Workload Identity Federation, with least privilege and auditability.</w:t>
      </w:r>
    </w:p>
    <w:p>
      <w:pPr>
        <w:pStyle w:val="ListParagraph"/>
        <w:numPr>
          <w:ilvl w:val="0"/>
          <w:numId w:val="2"/>
        </w:numPr>
      </w:pPr>
      <w:r>
        <w:t xml:space="preserve">Execute a secrets migration plan including Secret Manager and Key Vault, with rotation and access governance.</w:t>
      </w:r>
    </w:p>
    <w:p>
      <w:pPr>
        <w:pStyle w:val="ListParagraph"/>
        <w:numPr>
          <w:ilvl w:val="0"/>
          <w:numId w:val="2"/>
        </w:numPr>
        <w:spacing w:after="200"/>
      </w:pPr>
      <w:r>
        <w:t xml:space="preserve">Establish a 90-day execution plan with concrete milestones.</w:t>
      </w:r>
    </w:p>
    <w:p>
      <w:pPr>
        <w:pStyle w:val="Heading1"/>
      </w:pPr>
      <w:r>
        <w:t xml:space="preserve">2. Key Remediation Themes by Risk</w:t>
      </w:r>
    </w:p>
    <w:p>
      <w:pPr>
        <w:pStyle w:val="Heading2"/>
      </w:pPr>
      <w:r>
        <w:t xml:space="preserve">2.1 Standing Privileged Credentials and Secret Leakage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Replace Owner roles</w:t>
      </w:r>
      <w:r>
        <w:t xml:space="preserve"> with least-privilege, per-workload/service accounts.</w:t>
      </w:r>
    </w:p>
    <w:p>
      <w:pPr>
        <w:pStyle w:val="ListParagraph"/>
        <w:numPr>
          <w:ilvl w:val="0"/>
          <w:numId w:val="2"/>
        </w:numPr>
      </w:pPr>
      <w:r>
        <w:t xml:space="preserve">Enforce IAM conditions and disable key creation where possible.</w:t>
      </w:r>
    </w:p>
    <w:p>
      <w:pPr>
        <w:pStyle w:val="ListParagraph"/>
        <w:numPr>
          <w:ilvl w:val="0"/>
          <w:numId w:val="2"/>
        </w:numPr>
      </w:pPr>
      <w:r>
        <w:t xml:space="preserve">Migrate to Workload Identity Federation.</w:t>
      </w:r>
    </w:p>
    <w:p>
      <w:pPr>
        <w:pStyle w:val="ListParagraph"/>
        <w:numPr>
          <w:ilvl w:val="0"/>
          <w:numId w:val="2"/>
        </w:numPr>
        <w:spacing w:after="120"/>
      </w:pPr>
      <w:r>
        <w:t xml:space="preserve">Require MFA for all administrative access.</w:t>
      </w:r>
    </w:p>
    <w:p>
      <w:pPr>
        <w:pStyle w:val="Heading2"/>
      </w:pPr>
      <w:r>
        <w:t xml:space="preserve">2.2 Public / Data-Plane Exposure</w:t>
      </w:r>
    </w:p>
    <w:p>
      <w:pPr>
        <w:pStyle w:val="ListParagraph"/>
        <w:numPr>
          <w:ilvl w:val="0"/>
          <w:numId w:val="2"/>
        </w:numPr>
      </w:pPr>
      <w:r>
        <w:t xml:space="preserve">Remove public IPs from Cloud SQL and other critical services.</w:t>
      </w:r>
    </w:p>
    <w:p>
      <w:pPr>
        <w:pStyle w:val="ListParagraph"/>
        <w:numPr>
          <w:ilvl w:val="0"/>
          <w:numId w:val="2"/>
        </w:numPr>
      </w:pPr>
      <w:r>
        <w:t xml:space="preserve">Use private IPs for Cloud SQL with private connectivity.</w:t>
      </w:r>
    </w:p>
    <w:p>
      <w:pPr>
        <w:pStyle w:val="ListParagraph"/>
        <w:numPr>
          <w:ilvl w:val="0"/>
          <w:numId w:val="2"/>
        </w:numPr>
        <w:spacing w:after="120"/>
      </w:pPr>
      <w:r>
        <w:t xml:space="preserve">Tighten VPN configurations with strong, unique PSKs and regular rotation.</w:t>
      </w:r>
    </w:p>
    <w:p>
      <w:pPr>
        <w:pStyle w:val="Heading2"/>
      </w:pPr>
      <w:r>
        <w:t xml:space="preserve">2.3 Untrusted Software Supply Chain</w:t>
      </w:r>
    </w:p>
    <w:p>
      <w:pPr>
        <w:pStyle w:val="ListParagraph"/>
        <w:numPr>
          <w:ilvl w:val="0"/>
          <w:numId w:val="2"/>
        </w:numPr>
      </w:pPr>
      <w:r>
        <w:t xml:space="preserve">Shift to regional Artifact Registry (from GCR / Docker Hub).</w:t>
      </w:r>
    </w:p>
    <w:p>
      <w:pPr>
        <w:pStyle w:val="ListParagraph"/>
        <w:numPr>
          <w:ilvl w:val="0"/>
          <w:numId w:val="2"/>
        </w:numPr>
      </w:pPr>
      <w:r>
        <w:t xml:space="preserve">Pin image digests instead of using “latest” tags.</w:t>
      </w:r>
    </w:p>
    <w:p>
      <w:pPr>
        <w:pStyle w:val="ListParagraph"/>
        <w:numPr>
          <w:ilvl w:val="0"/>
          <w:numId w:val="2"/>
        </w:numPr>
      </w:pPr>
      <w:r>
        <w:t xml:space="preserve">Enable image signing and Binary Authorization.</w:t>
      </w:r>
    </w:p>
    <w:p>
      <w:pPr>
        <w:pStyle w:val="ListParagraph"/>
        <w:numPr>
          <w:ilvl w:val="0"/>
          <w:numId w:val="2"/>
        </w:numPr>
        <w:spacing w:after="120"/>
      </w:pPr>
      <w:r>
        <w:t xml:space="preserve">Require SBOMs and provenance attestation.</w:t>
      </w:r>
    </w:p>
    <w:p>
      <w:pPr>
        <w:pStyle w:val="Heading2"/>
      </w:pPr>
      <w:r>
        <w:t xml:space="preserve">2.4 AKS Isolation and Privileged Admin</w:t>
      </w:r>
    </w:p>
    <w:p>
      <w:pPr>
        <w:pStyle w:val="ListParagraph"/>
        <w:numPr>
          <w:ilvl w:val="0"/>
          <w:numId w:val="2"/>
        </w:numPr>
      </w:pPr>
      <w:r>
        <w:t xml:space="preserve">Restrict cluster-admin bindings.</w:t>
      </w:r>
    </w:p>
    <w:p>
      <w:pPr>
        <w:pStyle w:val="ListParagraph"/>
        <w:numPr>
          <w:ilvl w:val="0"/>
          <w:numId w:val="2"/>
        </w:numPr>
      </w:pPr>
      <w:r>
        <w:t xml:space="preserve">Implement namespace-based RBAC and Pod Security Standards.</w:t>
      </w:r>
    </w:p>
    <w:p>
      <w:pPr>
        <w:pStyle w:val="ListParagraph"/>
        <w:numPr>
          <w:ilvl w:val="0"/>
          <w:numId w:val="2"/>
        </w:numPr>
      </w:pPr>
      <w:r>
        <w:t xml:space="preserve">Use private API server endpoint.</w:t>
      </w:r>
    </w:p>
    <w:p>
      <w:pPr>
        <w:pStyle w:val="ListParagraph"/>
        <w:numPr>
          <w:ilvl w:val="0"/>
          <w:numId w:val="2"/>
        </w:numPr>
        <w:spacing w:after="120"/>
      </w:pPr>
      <w:r>
        <w:t xml:space="preserve">Apply Entra Conditional Access for privileged access.</w:t>
      </w:r>
    </w:p>
    <w:p>
      <w:pPr>
        <w:pStyle w:val="Heading2"/>
      </w:pPr>
      <w:r>
        <w:t xml:space="preserve">2.5 Detection, Backup, and Recovery Gaps</w:t>
      </w:r>
    </w:p>
    <w:p>
      <w:pPr>
        <w:pStyle w:val="ListParagraph"/>
        <w:numPr>
          <w:ilvl w:val="0"/>
          <w:numId w:val="2"/>
        </w:numPr>
      </w:pPr>
      <w:r>
        <w:t xml:space="preserve">Extend logging retention beyond the current 30-day default.</w:t>
      </w:r>
    </w:p>
    <w:p>
      <w:pPr>
        <w:pStyle w:val="ListParagraph"/>
        <w:numPr>
          <w:ilvl w:val="0"/>
          <w:numId w:val="2"/>
        </w:numPr>
      </w:pPr>
      <w:r>
        <w:t xml:space="preserve">Enable comprehensive Cloud Logging and Azure diagnostic logs.</w:t>
      </w:r>
    </w:p>
    <w:p>
      <w:pPr>
        <w:pStyle w:val="ListParagraph"/>
        <w:numPr>
          <w:ilvl w:val="0"/>
          <w:numId w:val="2"/>
        </w:numPr>
      </w:pPr>
      <w:r>
        <w:t xml:space="preserve">Implement Point-in-Time Recovery (PITR) and robust backups across clouds.</w:t>
      </w:r>
    </w:p>
    <w:p>
      <w:pPr>
        <w:pStyle w:val="ListParagraph"/>
        <w:numPr>
          <w:ilvl w:val="0"/>
          <w:numId w:val="2"/>
        </w:numPr>
        <w:spacing w:after="200"/>
      </w:pPr>
      <w:r>
        <w:t xml:space="preserve">Verify restore procedures regularly.</w:t>
      </w:r>
    </w:p>
    <w:p>
      <w:pPr>
        <w:pStyle w:val="Heading1"/>
      </w:pPr>
      <w:r>
        <w:t xml:space="preserve">3. Target-State Network Topology</w:t>
      </w:r>
    </w:p>
    <w:p>
      <w:pPr>
        <w:pStyle w:val="Heading2"/>
      </w:pPr>
      <w:r>
        <w:t xml:space="preserve">3.1 GCP Design</w:t>
      </w:r>
    </w:p>
    <w:p>
      <w:pPr>
        <w:pStyle w:val="ListParagraph"/>
        <w:numPr>
          <w:ilvl w:val="0"/>
          <w:numId w:val="2"/>
        </w:numPr>
      </w:pPr>
      <w:r>
        <w:t xml:space="preserve">Hub-and-spoke architecture with Shared VPC.</w:t>
      </w:r>
    </w:p>
    <w:p>
      <w:pPr>
        <w:pStyle w:val="ListParagraph"/>
        <w:numPr>
          <w:ilvl w:val="0"/>
          <w:numId w:val="2"/>
        </w:numPr>
      </w:pPr>
      <w:r>
        <w:t xml:space="preserve">Dedicated data project for Cloud SQL.</w:t>
      </w:r>
    </w:p>
    <w:p>
      <w:pPr>
        <w:pStyle w:val="ListParagraph"/>
        <w:numPr>
          <w:ilvl w:val="0"/>
          <w:numId w:val="2"/>
        </w:numPr>
      </w:pPr>
      <w:r>
        <w:t xml:space="preserve">Non-overlapping CIDR ranges.</w:t>
      </w:r>
    </w:p>
    <w:p>
      <w:pPr>
        <w:pStyle w:val="ListParagraph"/>
        <w:numPr>
          <w:ilvl w:val="0"/>
          <w:numId w:val="2"/>
        </w:numPr>
      </w:pPr>
      <w:r>
        <w:t xml:space="preserve">Hierarchical firewall policies.</w:t>
      </w:r>
    </w:p>
    <w:p>
      <w:pPr>
        <w:pStyle w:val="ListParagraph"/>
        <w:numPr>
          <w:ilvl w:val="0"/>
          <w:numId w:val="2"/>
        </w:numPr>
      </w:pPr>
      <w:r>
        <w:t xml:space="preserve">VPC Flow Logs enabled.</w:t>
      </w:r>
    </w:p>
    <w:p>
      <w:pPr>
        <w:pStyle w:val="ListParagraph"/>
        <w:numPr>
          <w:ilvl w:val="0"/>
          <w:numId w:val="2"/>
        </w:numPr>
      </w:pPr>
      <w:r>
        <w:t xml:space="preserve">HA VPN with BGP for inter-cloud connectivity.</w:t>
      </w:r>
    </w:p>
    <w:p>
      <w:pPr>
        <w:pStyle w:val="ListParagraph"/>
        <w:numPr>
          <w:ilvl w:val="0"/>
          <w:numId w:val="2"/>
        </w:numPr>
        <w:spacing w:after="120"/>
      </w:pPr>
      <w:r>
        <w:t xml:space="preserve">Controlled egress via Cloud NAT.</w:t>
      </w:r>
    </w:p>
    <w:p>
      <w:pPr>
        <w:pStyle w:val="Heading2"/>
      </w:pPr>
      <w:r>
        <w:t xml:space="preserve">3.2 Azure Design</w:t>
      </w:r>
    </w:p>
    <w:p>
      <w:pPr>
        <w:pStyle w:val="ListParagraph"/>
        <w:numPr>
          <w:ilvl w:val="0"/>
          <w:numId w:val="2"/>
        </w:numPr>
      </w:pPr>
      <w:r>
        <w:t xml:space="preserve">Hub VNet with Azure Firewall.</w:t>
      </w:r>
    </w:p>
    <w:p>
      <w:pPr>
        <w:pStyle w:val="ListParagraph"/>
        <w:numPr>
          <w:ilvl w:val="0"/>
          <w:numId w:val="2"/>
        </w:numPr>
      </w:pPr>
      <w:r>
        <w:t xml:space="preserve">Private AKS subnets and private connectivity for AKS.</w:t>
      </w:r>
    </w:p>
    <w:p>
      <w:pPr>
        <w:pStyle w:val="ListParagraph"/>
        <w:numPr>
          <w:ilvl w:val="0"/>
          <w:numId w:val="2"/>
        </w:numPr>
      </w:pPr>
      <w:r>
        <w:t xml:space="preserve">Network Security Groups (NSGs) and private endpoints.</w:t>
      </w:r>
    </w:p>
    <w:p>
      <w:pPr>
        <w:pStyle w:val="ListParagraph"/>
        <w:numPr>
          <w:ilvl w:val="0"/>
          <w:numId w:val="2"/>
        </w:numPr>
        <w:spacing w:after="120"/>
      </w:pPr>
      <w:r>
        <w:t xml:space="preserve">Policy controls via Defender for Containers and Azure Policy.</w:t>
      </w:r>
    </w:p>
    <w:p>
      <w:pPr>
        <w:pStyle w:val="Heading2"/>
      </w:pPr>
      <w:r>
        <w:t xml:space="preserve">3.3 Inter-Cloud Connectivity</w:t>
      </w:r>
    </w:p>
    <w:p>
      <w:pPr>
        <w:pStyle w:val="ListParagraph"/>
        <w:numPr>
          <w:ilvl w:val="0"/>
          <w:numId w:val="2"/>
        </w:numPr>
      </w:pPr>
      <w:r>
        <w:t xml:space="preserve">Redundant HA VPN tunnels with BGP.</w:t>
      </w:r>
    </w:p>
    <w:p>
      <w:pPr>
        <w:pStyle w:val="ListParagraph"/>
        <w:numPr>
          <w:ilvl w:val="0"/>
          <w:numId w:val="2"/>
        </w:numPr>
      </w:pPr>
      <w:r>
        <w:t xml:space="preserve">Separate, strong PSKs per tunnel.</w:t>
      </w:r>
    </w:p>
    <w:p>
      <w:pPr>
        <w:pStyle w:val="ListParagraph"/>
        <w:numPr>
          <w:ilvl w:val="0"/>
          <w:numId w:val="2"/>
        </w:numPr>
      </w:pPr>
      <w:r>
        <w:t xml:space="preserve">Restricted peer addresses and route restrictions.</w:t>
      </w:r>
    </w:p>
    <w:p>
      <w:pPr>
        <w:pStyle w:val="ListParagraph"/>
        <w:numPr>
          <w:ilvl w:val="0"/>
          <w:numId w:val="2"/>
        </w:numPr>
        <w:spacing w:after="200"/>
      </w:pPr>
      <w:r>
        <w:t xml:space="preserve">Only required application paths should cross the boundary.</w:t>
      </w:r>
    </w:p>
    <w:p>
      <w:pPr>
        <w:pStyle w:val="Heading1"/>
      </w:pPr>
      <w:r>
        <w:t xml:space="preserve">4. Private Cloud SQL Connectivity Recommendations</w:t>
      </w:r>
    </w:p>
    <w:p>
      <w:pPr>
        <w:pStyle w:val="ListParagraph"/>
        <w:numPr>
          <w:ilvl w:val="0"/>
          <w:numId w:val="2"/>
        </w:numPr>
      </w:pPr>
      <w:r>
        <w:t xml:space="preserve">Use private IP with private-services-access ranges.</w:t>
      </w:r>
    </w:p>
    <w:p>
      <w:pPr>
        <w:pStyle w:val="ListParagraph"/>
        <w:numPr>
          <w:ilvl w:val="0"/>
          <w:numId w:val="2"/>
        </w:numPr>
      </w:pPr>
      <w:r>
        <w:t xml:space="preserve">Prefer Cloud SQL Auth Proxy or TLS with IAM authentication.</w:t>
      </w:r>
    </w:p>
    <w:p>
      <w:pPr>
        <w:pStyle w:val="ListParagraph"/>
        <w:numPr>
          <w:ilvl w:val="0"/>
          <w:numId w:val="2"/>
        </w:numPr>
      </w:pPr>
      <w:r>
        <w:t xml:space="preserve">Remove public access only after private-path readiness is fully tested.</w:t>
      </w:r>
    </w:p>
    <w:p>
      <w:pPr>
        <w:pStyle w:val="ListParagraph"/>
        <w:numPr>
          <w:ilvl w:val="0"/>
          <w:numId w:val="2"/>
        </w:numPr>
        <w:spacing w:after="200"/>
      </w:pPr>
      <w:r>
        <w:t xml:space="preserve">Restrict database port access to approved application subnets or a proxy tier.</w:t>
      </w:r>
    </w:p>
    <w:p>
      <w:pPr>
        <w:pStyle w:val="Heading1"/>
      </w:pPr>
      <w:r>
        <w:t xml:space="preserve">5. Entra ID – GCP Federation Approach</w:t>
      </w:r>
    </w:p>
    <w:p>
      <w:pPr>
        <w:pStyle w:val="Heading2"/>
      </w:pPr>
      <w:r>
        <w:t xml:space="preserve">5.1 Employees (Workforce Identity)</w:t>
      </w:r>
    </w:p>
    <w:p>
      <w:pPr>
        <w:pStyle w:val="ListParagraph"/>
        <w:numPr>
          <w:ilvl w:val="0"/>
          <w:numId w:val="2"/>
        </w:numPr>
      </w:pPr>
      <w:r>
        <w:t xml:space="preserve">Entra ID as the workforce identity provider.</w:t>
      </w:r>
    </w:p>
    <w:p>
      <w:pPr>
        <w:pStyle w:val="ListParagraph"/>
        <w:numPr>
          <w:ilvl w:val="0"/>
          <w:numId w:val="2"/>
        </w:numPr>
      </w:pPr>
      <w:r>
        <w:t xml:space="preserve">Group-to-GCP-group mapping.</w:t>
      </w:r>
    </w:p>
    <w:p>
      <w:pPr>
        <w:pStyle w:val="ListParagraph"/>
        <w:numPr>
          <w:ilvl w:val="0"/>
          <w:numId w:val="2"/>
        </w:numPr>
      </w:pPr>
      <w:r>
        <w:t xml:space="preserve">Conditional Access (CA) based access controls.</w:t>
      </w:r>
    </w:p>
    <w:p>
      <w:pPr>
        <w:pStyle w:val="ListParagraph"/>
        <w:numPr>
          <w:ilvl w:val="0"/>
          <w:numId w:val="2"/>
        </w:numPr>
        <w:spacing w:after="120"/>
      </w:pPr>
      <w:r>
        <w:t xml:space="preserve">Short-lived elevated roles via federation.</w:t>
      </w:r>
    </w:p>
    <w:p>
      <w:pPr>
        <w:pStyle w:val="Heading2"/>
      </w:pPr>
      <w:r>
        <w:t xml:space="preserve">5.2 Workloads</w:t>
      </w:r>
    </w:p>
    <w:p>
      <w:pPr>
        <w:pStyle w:val="ListParagraph"/>
        <w:numPr>
          <w:ilvl w:val="0"/>
          <w:numId w:val="2"/>
        </w:numPr>
      </w:pPr>
      <w:r>
        <w:t xml:space="preserve">Avoid long-lived secrets in GCP.</w:t>
      </w:r>
    </w:p>
    <w:p>
      <w:pPr>
        <w:pStyle w:val="ListParagraph"/>
        <w:numPr>
          <w:ilvl w:val="0"/>
          <w:numId w:val="2"/>
        </w:numPr>
      </w:pPr>
      <w:r>
        <w:t xml:space="preserve">Use Workload Identity Federation with separate providers per environment.</w:t>
      </w:r>
    </w:p>
    <w:p>
      <w:pPr>
        <w:pStyle w:val="ListParagraph"/>
        <w:numPr>
          <w:ilvl w:val="0"/>
          <w:numId w:val="2"/>
        </w:numPr>
      </w:pPr>
      <w:r>
        <w:t xml:space="preserve">No secrets embedded in cross-cloud tokens.</w:t>
      </w:r>
    </w:p>
    <w:p>
      <w:pPr>
        <w:pStyle w:val="ListParagraph"/>
        <w:numPr>
          <w:ilvl w:val="0"/>
          <w:numId w:val="2"/>
        </w:numPr>
        <w:spacing w:after="200"/>
      </w:pPr>
      <w:r>
        <w:t xml:space="preserve">Maintain full auditability of federated access.</w:t>
      </w:r>
    </w:p>
    <w:p>
      <w:pPr>
        <w:pStyle w:val="Heading1"/>
      </w:pPr>
      <w:r>
        <w:t xml:space="preserve">6. Secrets Migration Plan</w:t>
      </w:r>
    </w:p>
    <w:p>
      <w:pPr>
        <w:spacing w:after="120"/>
      </w:pPr>
      <w:r>
        <w:t xml:space="preserve">High-level 90-day timeline for migrating secrets to Secret Manager (GCP) and Key Vault (Azure):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8280"/>
      </w:tblGrid>
      <w:tr>
        <w:tc>
          <w:tcPr>
            <w:tcW w:type="dxa" w:w="1800"/>
            <w:tcBorders>
              <w:top w:val="single" w:color="1F4E79" w:sz="4"/>
              <w:left w:val="single" w:color="1F4E79" w:sz="4"/>
              <w:bottom w:val="single" w:color="1F4E79" w:sz="4"/>
              <w:right w:val="single" w:color="1F4E79" w:sz="4"/>
            </w:tcBorders>
            <w:shd w:fill="1F4E79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Phase</w:t>
            </w:r>
          </w:p>
        </w:tc>
        <w:tc>
          <w:tcPr>
            <w:tcW w:type="dxa" w:w="8280"/>
            <w:tcBorders>
              <w:top w:val="single" w:color="1F4E79" w:sz="4"/>
              <w:left w:val="single" w:color="1F4E79" w:sz="4"/>
              <w:bottom w:val="single" w:color="1F4E79" w:sz="4"/>
              <w:right w:val="single" w:color="1F4E79" w:sz="4"/>
            </w:tcBorders>
            <w:shd w:fill="1F4E79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Activities</w:t>
            </w:r>
          </w:p>
        </w:tc>
      </w:tr>
      <w:tr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7FB" w:val="clear"/>
          </w:tcPr>
          <w:p>
            <w:pPr>
              <w:spacing w:after="60" w:before="60"/>
            </w:pPr>
            <w:r>
              <w:rPr>
                <w:sz w:val="20"/>
                <w:szCs w:val="20"/>
              </w:rPr>
              <w:t xml:space="preserve">Days 0–15</w:t>
            </w:r>
          </w:p>
        </w:tc>
        <w:tc>
          <w:tcPr>
            <w:tcW w:type="dxa" w:w="82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7FB" w:val="clear"/>
          </w:tcPr>
          <w:p>
            <w:pPr>
              <w:spacing w:after="60" w:before="60"/>
            </w:pPr>
            <w:r>
              <w:rPr>
                <w:sz w:val="20"/>
                <w:szCs w:val="20"/>
              </w:rPr>
              <w:t xml:space="preserve">Discovery and containment: revoke exposed credentials, disable new GCP key creation.</w:t>
            </w:r>
          </w:p>
        </w:tc>
      </w:tr>
      <w:tr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</w:tcPr>
          <w:p>
            <w:pPr>
              <w:spacing w:after="60" w:before="60"/>
            </w:pPr>
            <w:r>
              <w:rPr>
                <w:sz w:val="20"/>
                <w:szCs w:val="20"/>
              </w:rPr>
              <w:t xml:space="preserve">Days 15–45</w:t>
            </w:r>
          </w:p>
        </w:tc>
        <w:tc>
          <w:tcPr>
            <w:tcW w:type="dxa" w:w="82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</w:tcPr>
          <w:p>
            <w:pPr>
              <w:spacing w:after="60" w:before="60"/>
            </w:pPr>
            <w:r>
              <w:rPr>
                <w:sz w:val="20"/>
                <w:szCs w:val="20"/>
              </w:rPr>
              <w:t xml:space="preserve">Migrate to Secret Manager / Key Vault; per-environment secrets with rotation labels; grant access only to workload identities.</w:t>
            </w:r>
          </w:p>
        </w:tc>
      </w:tr>
      <w:tr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7FB" w:val="clear"/>
          </w:tcPr>
          <w:p>
            <w:pPr>
              <w:spacing w:after="60" w:before="60"/>
            </w:pPr>
            <w:r>
              <w:rPr>
                <w:sz w:val="20"/>
                <w:szCs w:val="20"/>
              </w:rPr>
              <w:t xml:space="preserve">Days 45–75</w:t>
            </w:r>
          </w:p>
        </w:tc>
        <w:tc>
          <w:tcPr>
            <w:tcW w:type="dxa" w:w="82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7FB" w:val="clear"/>
          </w:tcPr>
          <w:p>
            <w:pPr>
              <w:spacing w:after="60" w:before="60"/>
            </w:pPr>
            <w:r>
              <w:rPr>
                <w:sz w:val="20"/>
                <w:szCs w:val="20"/>
              </w:rPr>
              <w:t xml:space="preserve">Move to keyless, short-lived credentials; enable automatic rotation.</w:t>
            </w:r>
          </w:p>
        </w:tc>
      </w:tr>
      <w:tr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</w:tcPr>
          <w:p>
            <w:pPr>
              <w:spacing w:after="60" w:before="60"/>
            </w:pPr>
            <w:r>
              <w:rPr>
                <w:sz w:val="20"/>
                <w:szCs w:val="20"/>
              </w:rPr>
              <w:t xml:space="preserve">Days 75–90</w:t>
            </w:r>
          </w:p>
        </w:tc>
        <w:tc>
          <w:tcPr>
            <w:tcW w:type="dxa" w:w="82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</w:tcPr>
          <w:p>
            <w:pPr>
              <w:spacing w:after="60" w:before="60"/>
            </w:pPr>
            <w:r>
              <w:rPr>
                <w:sz w:val="20"/>
                <w:szCs w:val="20"/>
              </w:rPr>
              <w:t xml:space="preserve">Enforce policies; conduct restoration / rollback testing; obtain cross-stakeholder sign-off.</w:t>
            </w:r>
          </w:p>
        </w:tc>
      </w:tr>
    </w:tbl>
    <w:p>
      <w:pPr>
        <w:pStyle w:val="Heading1"/>
      </w:pPr>
      <w:r>
        <w:t xml:space="preserve">7. 90-Day Execution Order</w:t>
      </w:r>
    </w:p>
    <w:p>
      <w:pPr>
        <w:pStyle w:val="Heading2"/>
      </w:pPr>
      <w:r>
        <w:t xml:space="preserve">Immediate / Early Actions</w:t>
      </w:r>
    </w:p>
    <w:p>
      <w:pPr>
        <w:pStyle w:val="ListParagraph"/>
        <w:numPr>
          <w:ilvl w:val="0"/>
          <w:numId w:val="2"/>
        </w:numPr>
      </w:pPr>
      <w:r>
        <w:t xml:space="preserve">Revoke exposed and standing privileged credentials.</w:t>
      </w:r>
    </w:p>
    <w:p>
      <w:pPr>
        <w:pStyle w:val="ListParagraph"/>
        <w:numPr>
          <w:ilvl w:val="0"/>
          <w:numId w:val="2"/>
        </w:numPr>
      </w:pPr>
      <w:r>
        <w:t xml:space="preserve">Block public access to critical data-plane components.</w:t>
      </w:r>
    </w:p>
    <w:p>
      <w:pPr>
        <w:pStyle w:val="ListParagraph"/>
        <w:numPr>
          <w:ilvl w:val="0"/>
          <w:numId w:val="2"/>
        </w:numPr>
      </w:pPr>
      <w:r>
        <w:t xml:space="preserve">Remove broad Owner role bindings.</w:t>
      </w:r>
    </w:p>
    <w:p>
      <w:pPr>
        <w:pStyle w:val="ListParagraph"/>
        <w:numPr>
          <w:ilvl w:val="0"/>
          <w:numId w:val="2"/>
        </w:numPr>
        <w:spacing w:after="120"/>
      </w:pPr>
      <w:r>
        <w:t xml:space="preserve">Enable comprehensive logging.</w:t>
      </w:r>
    </w:p>
    <w:p>
      <w:pPr>
        <w:pStyle w:val="Heading2"/>
      </w:pPr>
      <w:r>
        <w:t xml:space="preserve">Weeks 1–4</w:t>
      </w:r>
    </w:p>
    <w:p>
      <w:pPr>
        <w:pStyle w:val="ListParagraph"/>
        <w:numPr>
          <w:ilvl w:val="0"/>
          <w:numId w:val="2"/>
        </w:numPr>
      </w:pPr>
      <w:r>
        <w:t xml:space="preserve">Stand up new VPCs / Shared VPC and private Cloud SQL.</w:t>
      </w:r>
    </w:p>
    <w:p>
      <w:pPr>
        <w:pStyle w:val="ListParagraph"/>
        <w:numPr>
          <w:ilvl w:val="0"/>
          <w:numId w:val="2"/>
        </w:numPr>
      </w:pPr>
      <w:r>
        <w:t xml:space="preserve">Deploy HA VPN with BGP and strong PSKs.</w:t>
      </w:r>
    </w:p>
    <w:p>
      <w:pPr>
        <w:pStyle w:val="ListParagraph"/>
        <w:numPr>
          <w:ilvl w:val="0"/>
          <w:numId w:val="2"/>
        </w:numPr>
      </w:pPr>
      <w:r>
        <w:t xml:space="preserve">Configure Entra Conditional Access and begin identity federation.</w:t>
      </w:r>
    </w:p>
    <w:p>
      <w:pPr>
        <w:pStyle w:val="ListParagraph"/>
        <w:numPr>
          <w:ilvl w:val="0"/>
          <w:numId w:val="2"/>
        </w:numPr>
      </w:pPr>
      <w:r>
        <w:t xml:space="preserve">Initiate secrets management migration.</w:t>
      </w:r>
    </w:p>
    <w:p>
      <w:pPr>
        <w:pStyle w:val="ListParagraph"/>
        <w:numPr>
          <w:ilvl w:val="0"/>
          <w:numId w:val="2"/>
        </w:numPr>
        <w:spacing w:after="120"/>
      </w:pPr>
      <w:r>
        <w:t xml:space="preserve">Centralize and extend logging retention.</w:t>
      </w:r>
    </w:p>
    <w:p>
      <w:pPr>
        <w:pStyle w:val="Heading2"/>
      </w:pPr>
      <w:r>
        <w:t xml:space="preserve">Weeks 4–8</w:t>
      </w:r>
    </w:p>
    <w:p>
      <w:pPr>
        <w:pStyle w:val="ListParagraph"/>
        <w:numPr>
          <w:ilvl w:val="0"/>
          <w:numId w:val="2"/>
        </w:numPr>
      </w:pPr>
      <w:r>
        <w:t xml:space="preserve">Migrate images to Artifact Registry with signing and Binary Authorization.</w:t>
      </w:r>
    </w:p>
    <w:p>
      <w:pPr>
        <w:pStyle w:val="ListParagraph"/>
        <w:numPr>
          <w:ilvl w:val="0"/>
          <w:numId w:val="2"/>
        </w:numPr>
      </w:pPr>
      <w:r>
        <w:t xml:space="preserve">Harden AKS (namespaces, Pod Security Standards, private API, RBAC).</w:t>
      </w:r>
    </w:p>
    <w:p>
      <w:pPr>
        <w:pStyle w:val="ListParagraph"/>
        <w:numPr>
          <w:ilvl w:val="0"/>
          <w:numId w:val="2"/>
        </w:numPr>
        <w:spacing w:after="120"/>
      </w:pPr>
      <w:r>
        <w:t xml:space="preserve">Implement backup and disaster recovery improvements (including PITR).</w:t>
      </w:r>
    </w:p>
    <w:p>
      <w:pPr>
        <w:pStyle w:val="Heading2"/>
      </w:pPr>
      <w:r>
        <w:t xml:space="preserve">Weeks 9–12</w:t>
      </w:r>
    </w:p>
    <w:p>
      <w:pPr>
        <w:pStyle w:val="ListParagraph"/>
        <w:numPr>
          <w:ilvl w:val="0"/>
          <w:numId w:val="2"/>
        </w:numPr>
      </w:pPr>
      <w:r>
        <w:t xml:space="preserve">Final cutovers and decommissioning of legacy paths and keys.</w:t>
      </w:r>
    </w:p>
    <w:p>
      <w:pPr>
        <w:pStyle w:val="ListParagraph"/>
        <w:numPr>
          <w:ilvl w:val="0"/>
          <w:numId w:val="2"/>
        </w:numPr>
      </w:pPr>
      <w:r>
        <w:t xml:space="preserve">Validate restore procedures end-to-end.</w:t>
      </w:r>
    </w:p>
    <w:p>
      <w:pPr>
        <w:pStyle w:val="ListParagraph"/>
        <w:numPr>
          <w:ilvl w:val="0"/>
          <w:numId w:val="2"/>
        </w:numPr>
        <w:spacing w:after="200"/>
      </w:pPr>
      <w:r>
        <w:t xml:space="preserve">Obtain cross-stakeholder sign-off and formal acceptance.</w:t>
      </w:r>
    </w:p>
    <w:p>
      <w:pPr>
        <w:pStyle w:val="Heading1"/>
      </w:pPr>
      <w:r>
        <w:t xml:space="preserve">8. Source References</w:t>
      </w:r>
    </w:p>
    <w:p>
      <w:pPr>
        <w:spacing w:after="80"/>
      </w:pPr>
      <w:r>
        <w:t xml:space="preserve">The remediation plan draws on the following categories of official guidance and best practices:</w:t>
      </w:r>
    </w:p>
    <w:p>
      <w:pPr>
        <w:pStyle w:val="ListParagraph"/>
        <w:numPr>
          <w:ilvl w:val="0"/>
          <w:numId w:val="2"/>
        </w:numPr>
      </w:pPr>
      <w:r>
        <w:t xml:space="preserve">HIPAA safeguards and ePHI protection requirements</w:t>
      </w:r>
    </w:p>
    <w:p>
      <w:pPr>
        <w:pStyle w:val="ListParagraph"/>
        <w:numPr>
          <w:ilvl w:val="0"/>
          <w:numId w:val="2"/>
        </w:numPr>
      </w:pPr>
      <w:r>
        <w:t xml:space="preserve">IAM security guidance (GCP &amp; Azure)</w:t>
      </w:r>
    </w:p>
    <w:p>
      <w:pPr>
        <w:pStyle w:val="ListParagraph"/>
        <w:numPr>
          <w:ilvl w:val="0"/>
          <w:numId w:val="2"/>
        </w:numPr>
      </w:pPr>
      <w:r>
        <w:t xml:space="preserve">VPC / networking best practices and hub-and-spoke patterns</w:t>
      </w:r>
    </w:p>
    <w:p>
      <w:pPr>
        <w:pStyle w:val="ListParagraph"/>
        <w:numPr>
          <w:ilvl w:val="0"/>
          <w:numId w:val="2"/>
        </w:numPr>
      </w:pPr>
      <w:r>
        <w:t xml:space="preserve">Private IP connectivity for Cloud SQL</w:t>
      </w:r>
    </w:p>
    <w:p>
      <w:pPr>
        <w:pStyle w:val="ListParagraph"/>
        <w:numPr>
          <w:ilvl w:val="0"/>
          <w:numId w:val="2"/>
        </w:numPr>
      </w:pPr>
      <w:r>
        <w:t xml:space="preserve">VPN best practices (HA VPN, BGP, PSK management)</w:t>
      </w:r>
    </w:p>
    <w:p>
      <w:pPr>
        <w:pStyle w:val="ListParagraph"/>
        <w:numPr>
          <w:ilvl w:val="0"/>
          <w:numId w:val="2"/>
        </w:numPr>
      </w:pPr>
      <w:r>
        <w:t xml:space="preserve">AKS security hardening guidance</w:t>
      </w:r>
    </w:p>
    <w:p>
      <w:pPr>
        <w:pStyle w:val="ListParagraph"/>
        <w:numPr>
          <w:ilvl w:val="0"/>
          <w:numId w:val="2"/>
        </w:numPr>
      </w:pPr>
      <w:r>
        <w:t xml:space="preserve">Entra Conditional Access and identity federation</w:t>
      </w:r>
    </w:p>
    <w:p>
      <w:pPr>
        <w:pStyle w:val="ListParagraph"/>
        <w:numPr>
          <w:ilvl w:val="0"/>
          <w:numId w:val="2"/>
        </w:numPr>
      </w:pPr>
      <w:r>
        <w:t xml:space="preserve">Cloud Audit Logs and centralized logging</w:t>
      </w:r>
    </w:p>
    <w:p>
      <w:pPr>
        <w:pStyle w:val="ListParagraph"/>
        <w:numPr>
          <w:ilvl w:val="0"/>
          <w:numId w:val="2"/>
        </w:numPr>
      </w:pPr>
      <w:r>
        <w:t xml:space="preserve">Workload Identity Federation</w:t>
      </w:r>
    </w:p>
    <w:p>
      <w:pPr>
        <w:pStyle w:val="ListParagraph"/>
        <w:numPr>
          <w:ilvl w:val="0"/>
          <w:numId w:val="2"/>
        </w:numPr>
      </w:pPr>
      <w:r>
        <w:t xml:space="preserve">Secret management (Secret Manager &amp; Key Vault)</w:t>
      </w:r>
    </w:p>
    <w:p>
      <w:pPr>
        <w:pStyle w:val="ListParagraph"/>
        <w:numPr>
          <w:ilvl w:val="0"/>
          <w:numId w:val="2"/>
        </w:numPr>
        <w:spacing w:after="200"/>
      </w:pPr>
      <w:r>
        <w:t xml:space="preserve">Backup and disaster recovery documentation</w:t>
      </w:r>
    </w:p>
    <w:p>
      <w:pPr>
        <w:pStyle w:val="Heading1"/>
      </w:pPr>
      <w:r>
        <w:t xml:space="preserve">9. Notes</w:t>
      </w:r>
    </w:p>
    <w:p>
      <w:pPr>
        <w:pStyle w:val="ListParagraph"/>
        <w:numPr>
          <w:ilvl w:val="0"/>
          <w:numId w:val="2"/>
        </w:numPr>
      </w:pPr>
      <w:r>
        <w:t xml:space="preserve">This summary preserves the exact terms, risk labels, remediation steps, acceptance criteria, and timelines as stated in the structured result.</w:t>
      </w:r>
    </w:p>
    <w:p>
      <w:pPr>
        <w:pStyle w:val="ListParagraph"/>
        <w:numPr>
          <w:ilvl w:val="0"/>
          <w:numId w:val="2"/>
        </w:numPr>
      </w:pPr>
      <w:r>
        <w:t xml:space="preserve">No new facts or inferential conclusions have been added beyond the provided data.</w:t>
      </w:r>
    </w:p>
    <w:p>
      <w:pPr>
        <w:pStyle w:val="ListParagraph"/>
        <w:numPr>
          <w:ilvl w:val="0"/>
          <w:numId w:val="2"/>
        </w:numPr>
        <w:spacing w:after="120"/>
      </w:pPr>
      <w:r>
        <w:t xml:space="preserve">Claims of task success should be aligned with the structured result’s own acceptance criteria.</w:t>
      </w:r>
    </w:p>
    <w:p>
      <w:pPr>
        <w:pBdr>
          <w:top w:val="single" w:color="CCCCCC" w:sz="6" w:space="12"/>
        </w:pBdr>
        <w:spacing w:before="300"/>
      </w:pPr>
      <w:r>
        <w:rPr>
          <w:b/>
          <w:bCs/>
          <w:color w:val="666666"/>
          <w:sz w:val="18"/>
          <w:szCs w:val="18"/>
        </w:rPr>
        <w:t xml:space="preserve">Document Context</w:t>
      </w:r>
    </w:p>
    <w:p>
      <w:pPr>
        <w:spacing w:after="60"/>
      </w:pPr>
      <w:r>
        <w:rPr>
          <w:i/>
          <w:iCs/>
          <w:color w:val="555555"/>
          <w:sz w:val="18"/>
          <w:szCs w:val="18"/>
        </w:rPr>
        <w:t xml:space="preserve">Module 1 Task: Multi-cloud security design, infrastructure assessment, and remediation planning for Ajaia AI Consultancy. Environment spans GCP (primary – application workloads, Cloud SQL with PHI, CI/CD) and Azure (secondary – AKS overflow, Entra ID). Key constraints include HIPAA BAA (Harmoni client) and FERPA-related obligations (Ethos K-12 client). Mandate: secure the environment within 90 days.</w:t>
      </w:r>
    </w:p>
    <w:sectPr>
      <w:headerReference w:type="default" r:id="rId7"/>
      <w:footerReference w:type="default" r:id="rId8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1F4E79" w:sz="6" w:space="8"/>
      </w:pBdr>
      <w:jc w:val="center"/>
    </w:pPr>
    <w:r>
      <w:rPr>
        <w:rFonts w:ascii="Arial" w:cs="Arial" w:eastAsia="Arial" w:hAnsi="Arial"/>
        <w:color w:val="666666"/>
        <w:sz w:val="18"/>
        <w:szCs w:val="18"/>
      </w:rPr>
      <w:t xml:space="preserve">Confidential  |  Page </w:t>
    </w:r>
    <w:r>
      <w:rPr>
        <w:rFonts w:ascii="Arial" w:cs="Arial" w:eastAsia="Arial" w:hAnsi="Arial"/>
        <w:color w:val="666666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666666"/>
        <w:sz w:val="18"/>
        <w:szCs w:val="18"/>
      </w:rPr>
      <w:t xml:space="preserve"> of </w:t>
    </w:r>
    <w:r>
      <w:rPr>
        <w:rFonts w:ascii="Arial" w:cs="Arial" w:eastAsia="Arial" w:hAnsi="Arial"/>
        <w:color w:val="666666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F4E79" w:sz="6" w:space="8"/>
      </w:pBdr>
    </w:pPr>
    <w:r>
      <w:rPr>
        <w:rFonts w:ascii="Arial" w:cs="Arial" w:eastAsia="Arial" w:hAnsi="Arial"/>
        <w:color w:val="666666"/>
        <w:sz w:val="18"/>
        <w:szCs w:val="18"/>
      </w:rPr>
      <w:t xml:space="preserve">Ajaia AI Consultancy  |  Module 1 Summary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–"/>
      <w:lvlJc w:val="left"/>
      <w:pPr>
        <w:ind w:left="108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next w:val="Normal"/>
    <w:pPr>
      <w:spacing w:after="200" w:before="0"/>
      <w:jc w:val="center"/>
    </w:pPr>
    <w:rPr>
      <w:rFonts w:ascii="Arial" w:cs="Arial" w:eastAsia="Arial" w:hAnsi="Arial"/>
      <w:b/>
      <w:bCs/>
      <w:color w:val="1F4E79"/>
      <w:sz w:val="36"/>
      <w:szCs w:val="36"/>
    </w:rPr>
  </w:style>
  <w:style w:type="paragraph" w:styleId="Heading1">
    <w:name w:val="Heading 1"/>
    <w:basedOn w:val="Normal"/>
    <w:next w:val="Normal"/>
    <w:pPr>
      <w:spacing w:after="160" w:before="360"/>
      <w:outlineLvl w:val="0"/>
    </w:pPr>
    <w:rPr>
      <w:rFonts w:ascii="Arial" w:cs="Arial" w:eastAsia="Arial" w:hAnsi="Arial"/>
      <w:b/>
      <w:bCs/>
      <w:color w:val="1F4E79"/>
      <w:sz w:val="28"/>
      <w:szCs w:val="28"/>
    </w:rPr>
  </w:style>
  <w:style w:type="paragraph" w:styleId="Heading2">
    <w:name w:val="Heading 2"/>
    <w:basedOn w:val="Normal"/>
    <w:next w:val="Normal"/>
    <w:pPr>
      <w:spacing w:after="120" w:before="280"/>
      <w:outlineLvl w:val="1"/>
    </w:pPr>
    <w:rPr>
      <w:rFonts w:ascii="Arial" w:cs="Arial" w:eastAsia="Arial" w:hAnsi="Arial"/>
      <w:b/>
      <w:bCs/>
      <w:color w:val="2E75B6"/>
      <w:sz w:val="24"/>
      <w:szCs w:val="24"/>
    </w:rPr>
  </w:style>
  <w:style w:type="paragraph" w:styleId="Heading3">
    <w:name w:val="Heading 3"/>
    <w:basedOn w:val="Normal"/>
    <w:next w:val="Normal"/>
    <w:pPr>
      <w:spacing w:after="100" w:before="200"/>
      <w:outlineLvl w:val="2"/>
    </w:pPr>
    <w:rPr>
      <w:rFonts w:ascii="Arial" w:cs="Arial" w:eastAsia="Arial" w:hAnsi="Arial"/>
      <w:b/>
      <w:bCs/>
      <w:color w:val="5B9BD5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2026-10-26T05:49:44.518Z</dcterms:created>
  <dcterms:modified xsi:type="dcterms:W3CDTF">2026-10-26T05:49:44.519Z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