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4E79"/>
          <w:sz w:val="40"/>
          <w:szCs w:val="40"/>
        </w:rPr>
        <w:t xml:space="preserve">Summary of Module 2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Incident Response &amp; Crisis Management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Live incident handling, forensic analysis, HIPAA breach determination, and executive communication</w:t>
      </w:r>
    </w:p>
    <w:p>
      <w:pPr>
        <w:spacing w:after="400"/>
        <w:jc w:val="center"/>
      </w:pPr>
      <w:r>
        <w:rPr>
          <w:color w:val="444444"/>
          <w:sz w:val="18"/>
          <w:szCs w:val="18"/>
        </w:rPr>
        <w:t xml:space="preserve">Client: Ajaia AI Consultancy  |  Severity-1 Concurrent Incidents  |  Time-Critical Response</w:t>
      </w:r>
    </w:p>
    <w:p>
      <w:pPr>
        <w:pStyle w:val="Heading1"/>
      </w:pPr>
      <w:r>
        <w:t xml:space="preserve">1. Situation Overview</w:t>
      </w:r>
    </w:p>
    <w:p>
      <w:pPr>
        <w:spacing w:after="120"/>
      </w:pPr>
      <w:r>
        <w:t xml:space="preserve">A Severity-1 security incident involving suspected unsecured PHI exposure has been declared. Two concurrent events are in progress.</w:t>
      </w:r>
    </w:p>
    <w:p>
      <w:pPr>
        <w:spacing w:after="80"/>
      </w:pPr>
      <w:r>
        <w:rPr>
          <w:b/>
          <w:bCs/>
        </w:rPr>
        <w:t xml:space="preserve">Root facts:</w:t>
      </w:r>
    </w:p>
    <w:p>
      <w:pPr>
        <w:pStyle w:val="ListParagraph"/>
        <w:numPr>
          <w:ilvl w:val="0"/>
          <w:numId w:val="2"/>
        </w:numPr>
      </w:pPr>
      <w:r>
        <w:t xml:space="preserve">A long-lived service-account key was exposed publicly and later found in a public repository.</w:t>
      </w:r>
    </w:p>
    <w:p>
      <w:pPr>
        <w:pStyle w:val="ListParagraph"/>
        <w:numPr>
          <w:ilvl w:val="0"/>
          <w:numId w:val="2"/>
        </w:numPr>
      </w:pPr>
      <w:r>
        <w:t xml:space="preserve">Cloud SQL logs show 14 reads of tables containing symptom descriptions and provider notes.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Actionable guidance references Google Cloud audit logs, Cloud SQL logs, and related data-access auditing.</w:t>
      </w:r>
    </w:p>
    <w:p>
      <w:pPr>
        <w:spacing w:after="2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Two concurrent security events are being handled — the service-account compromise and a stolen laptop report.</w:t>
      </w:r>
    </w:p>
    <w:p>
      <w:pPr>
        <w:pStyle w:val="Heading1"/>
      </w:pPr>
      <w:r>
        <w:t xml:space="preserve">2. First Hour: Key Time-Boxed Actions (0–60 Minutes)</w:t>
      </w:r>
    </w:p>
    <w:p>
      <w:pPr>
        <w:pStyle w:val="Heading2"/>
      </w:pPr>
      <w:r>
        <w:t xml:space="preserve">2.1  0–5 Minutes — Declare &amp; Organize</w:t>
      </w:r>
    </w:p>
    <w:p>
      <w:pPr>
        <w:pStyle w:val="ListParagraph"/>
        <w:numPr>
          <w:ilvl w:val="0"/>
          <w:numId w:val="2"/>
        </w:numPr>
      </w:pPr>
      <w:r>
        <w:t xml:space="preserve">Declare P1 incident.</w:t>
      </w:r>
    </w:p>
    <w:p>
      <w:pPr>
        <w:pStyle w:val="ListParagraph"/>
        <w:numPr>
          <w:ilvl w:val="0"/>
          <w:numId w:val="2"/>
        </w:numPr>
      </w:pPr>
      <w:r>
        <w:t xml:space="preserve">Establish Incident Commander and leads (Technical, Forensic, Legal/Privacy, Communications).</w:t>
      </w:r>
    </w:p>
    <w:p>
      <w:pPr>
        <w:pStyle w:val="ListParagraph"/>
        <w:numPr>
          <w:ilvl w:val="0"/>
          <w:numId w:val="2"/>
        </w:numPr>
      </w:pPr>
      <w:r>
        <w:t xml:space="preserve">Preserve evidence; avoid altering logs or issuing public communications.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Record identifiers, affected components, and initial artifacts.</w:t>
      </w:r>
    </w:p>
    <w:p>
      <w:pPr>
        <w:pStyle w:val="Heading2"/>
      </w:pPr>
      <w:r>
        <w:t xml:space="preserve">2.2  5–10 Minutes — Contain Credential</w:t>
      </w:r>
    </w:p>
    <w:p>
      <w:pPr>
        <w:pStyle w:val="ListParagraph"/>
        <w:numPr>
          <w:ilvl w:val="0"/>
          <w:numId w:val="2"/>
        </w:numPr>
      </w:pPr>
      <w:r>
        <w:t xml:space="preserve">Contain the credential without destroying evidence.</w:t>
      </w:r>
    </w:p>
    <w:p>
      <w:pPr>
        <w:pStyle w:val="ListParagraph"/>
        <w:numPr>
          <w:ilvl w:val="0"/>
          <w:numId w:val="2"/>
        </w:numPr>
      </w:pPr>
      <w:r>
        <w:t xml:space="preserve">Disable the exposed service-account key.</w:t>
      </w:r>
    </w:p>
    <w:p>
      <w:pPr>
        <w:pStyle w:val="ListParagraph"/>
        <w:numPr>
          <w:ilvl w:val="0"/>
          <w:numId w:val="2"/>
        </w:numPr>
      </w:pPr>
      <w:r>
        <w:t xml:space="preserve">Consider temporarily disabling the service account or applying an IAM deny policy.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 the exact action and timestamp.</w:t>
      </w:r>
    </w:p>
    <w:p>
      <w:pPr>
        <w:pStyle w:val="Heading2"/>
      </w:pPr>
      <w:r>
        <w:t xml:space="preserve">2.3  10–20 Minutes — Preserve &amp; Collect Evidence</w:t>
      </w:r>
    </w:p>
    <w:p>
      <w:pPr>
        <w:pStyle w:val="ListParagraph"/>
        <w:numPr>
          <w:ilvl w:val="0"/>
          <w:numId w:val="2"/>
        </w:numPr>
      </w:pPr>
      <w:r>
        <w:t xml:space="preserve">Export / route relevant audit logs, Cloud SQL logs, IAM policy versions, VPC/network evidence, API logs, and GitHub audit / secret-scanning evidence to a restricted, immutable location.</w:t>
      </w:r>
    </w:p>
    <w:p>
      <w:pPr>
        <w:pStyle w:val="ListParagraph"/>
        <w:numPr>
          <w:ilvl w:val="0"/>
          <w:numId w:val="2"/>
        </w:numPr>
      </w:pPr>
      <w:r>
        <w:t xml:space="preserve">Query all uses of the service account / key for its entire 90-day window.</w:t>
      </w:r>
    </w:p>
    <w:p>
      <w:pPr>
        <w:pStyle w:val="ListParagraph"/>
        <w:numPr>
          <w:ilvl w:val="0"/>
          <w:numId w:val="2"/>
        </w:numPr>
      </w:pPr>
      <w:r>
        <w:t xml:space="preserve">Capture caller IPs, user agents, methods, resources, and related parameters.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Note logging gaps explicitly.</w:t>
      </w:r>
    </w:p>
    <w:p>
      <w:pPr>
        <w:pStyle w:val="Heading2"/>
      </w:pPr>
      <w:r>
        <w:t xml:space="preserve">2.4  20–30 Minutes — Stop the Attack Path</w:t>
      </w:r>
    </w:p>
    <w:p>
      <w:pPr>
        <w:pStyle w:val="ListParagraph"/>
        <w:numPr>
          <w:ilvl w:val="0"/>
          <w:numId w:val="2"/>
        </w:numPr>
      </w:pPr>
      <w:r>
        <w:t xml:space="preserve">Stop the confirmed attack path by disabling the database principal or restricting Cloud SQL connectivity.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the service account is still required, create a least-privilege replacement; deploy and test before deleting the old key.</w:t>
      </w:r>
    </w:p>
    <w:p>
      <w:pPr>
        <w:pStyle w:val="Heading2"/>
      </w:pPr>
      <w:r>
        <w:t xml:space="preserve">2.5  30–40 Minutes — Scope Data Access</w:t>
      </w:r>
    </w:p>
    <w:p>
      <w:pPr>
        <w:pStyle w:val="ListParagraph"/>
        <w:numPr>
          <w:ilvl w:val="0"/>
          <w:numId w:val="2"/>
        </w:numPr>
      </w:pPr>
      <w:r>
        <w:t xml:space="preserve">Determine data-access scope; map the 14 SELECTs to data elements, counts, and potential identifiers.</w:t>
      </w:r>
    </w:p>
    <w:p>
      <w:pPr>
        <w:pStyle w:val="ListParagraph"/>
        <w:numPr>
          <w:ilvl w:val="0"/>
          <w:numId w:val="2"/>
        </w:numPr>
      </w:pPr>
      <w:r>
        <w:t xml:space="preserve">Review layered logs.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Preserve GitHub state and obtain commit / timeline details.</w:t>
      </w:r>
    </w:p>
    <w:p>
      <w:pPr>
        <w:pStyle w:val="Heading2"/>
      </w:pPr>
      <w:r>
        <w:t xml:space="preserve">2.6  40–50 Minutes — Correlate &amp; Investigate Identity</w:t>
      </w:r>
    </w:p>
    <w:p>
      <w:pPr>
        <w:pStyle w:val="ListParagraph"/>
        <w:numPr>
          <w:ilvl w:val="0"/>
          <w:numId w:val="2"/>
        </w:numPr>
      </w:pPr>
      <w:r>
        <w:t xml:space="preserve">Correlate IP / time window across Google Cloud, Google Workspace, GitHub, Azure Entra ID, M365, VPN, and endpoints.</w:t>
      </w:r>
    </w:p>
    <w:p>
      <w:pPr>
        <w:pStyle w:val="ListParagraph"/>
        <w:numPr>
          <w:ilvl w:val="0"/>
          <w:numId w:val="2"/>
        </w:numPr>
      </w:pPr>
      <w:r>
        <w:t xml:space="preserve">Investigate the former employee’s failed sign-in and related Auth / Conditional Access data.</w:t>
      </w:r>
    </w:p>
    <w:p>
      <w:pPr>
        <w:pStyle w:val="ListParagraph"/>
        <w:numPr>
          <w:ilvl w:val="0"/>
          <w:numId w:val="2"/>
        </w:numPr>
      </w:pPr>
      <w:r>
        <w:t xml:space="preserve">Disable the former account and revoke sessions.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Search for credential reuse.</w:t>
      </w:r>
    </w:p>
    <w:p>
      <w:pPr>
        <w:pStyle w:val="Heading2"/>
      </w:pPr>
      <w:r>
        <w:t xml:space="preserve">2.7  50–60 Minutes — Brief Leadership &amp; Engage Counsel</w:t>
      </w:r>
    </w:p>
    <w:p>
      <w:pPr>
        <w:pStyle w:val="ListParagraph"/>
        <w:numPr>
          <w:ilvl w:val="0"/>
          <w:numId w:val="2"/>
        </w:numPr>
      </w:pPr>
      <w:r>
        <w:t xml:space="preserve">Provide the CEO / Legal / Privacy with a fact-based P1 briefing.</w:t>
      </w:r>
    </w:p>
    <w:p>
      <w:pPr>
        <w:pStyle w:val="ListParagraph"/>
        <w:numPr>
          <w:ilvl w:val="0"/>
          <w:numId w:val="2"/>
        </w:numPr>
      </w:pPr>
      <w:r>
        <w:t xml:space="preserve">Engage breach counsel and forensic responder.</w:t>
      </w:r>
    </w:p>
    <w:p>
      <w:pPr>
        <w:pStyle w:val="ListParagraph"/>
        <w:numPr>
          <w:ilvl w:val="0"/>
          <w:numId w:val="2"/>
        </w:numPr>
      </w:pPr>
      <w:r>
        <w:t xml:space="preserve">Establish a two-hour update cadence; designate a single communications owner.</w:t>
      </w:r>
    </w:p>
    <w:p>
      <w:pPr>
        <w:pStyle w:val="ListParagraph"/>
        <w:numPr>
          <w:ilvl w:val="0"/>
          <w:numId w:val="2"/>
        </w:numPr>
      </w:pPr>
      <w:r>
        <w:t xml:space="preserve">Implement a legal hold and HIPAA risk-assessment workpaper.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Consider law-enforcement or cyber-insurance notifications as guided by counsel; continue to preserve evidence.</w:t>
      </w:r>
    </w:p>
    <w:p>
      <w:pPr>
        <w:pStyle w:val="Heading1"/>
      </w:pPr>
      <w:r>
        <w:t xml:space="preserve">3. Data Protection and HIPAA Considerations</w:t>
      </w:r>
    </w:p>
    <w:p>
      <w:pPr>
        <w:spacing w:after="120"/>
      </w:pPr>
      <w:r>
        <w:t xml:space="preserve">Two concurrent incidents require separate analysis while maintaining a unified timeline and risk assessment.</w:t>
      </w:r>
    </w:p>
    <w:p>
      <w:pPr>
        <w:pStyle w:val="Heading2"/>
      </w:pPr>
      <w:r>
        <w:t xml:space="preserve">3.1  Incident 1 — Exposed Service-Account Key with 14 Unauthorized Reads</w:t>
      </w:r>
    </w:p>
    <w:p>
      <w:pPr>
        <w:pStyle w:val="ListParagraph"/>
        <w:numPr>
          <w:ilvl w:val="0"/>
          <w:numId w:val="2"/>
        </w:numPr>
      </w:pPr>
      <w:r>
        <w:t xml:space="preserve">Ajaia’s role as Harmoni’s Business Associate under a signed BAA invokes HIPAA breach-notification rules.</w:t>
      </w:r>
    </w:p>
    <w:p>
      <w:pPr>
        <w:pStyle w:val="ListParagraph"/>
        <w:numPr>
          <w:ilvl w:val="0"/>
          <w:numId w:val="2"/>
        </w:numPr>
      </w:pPr>
      <w:r>
        <w:t xml:space="preserve">A presumption of breach exists unless a formal risk assessment demonstrates a low probability of compromise.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Recommendation: </w:t>
      </w:r>
      <w:r>
        <w:t xml:space="preserve">Document as a presumptive reportable breach of unsecured PHI, subject to final counsel determination.</w:t>
      </w:r>
    </w:p>
    <w:p>
      <w:pPr>
        <w:pStyle w:val="ListParagraph"/>
        <w:numPr>
          <w:ilvl w:val="0"/>
          <w:numId w:val="2"/>
        </w:numPr>
      </w:pPr>
      <w:r>
        <w:t xml:space="preserve">Notify Harmoni within 60 days of discovery; ensure notices align with BAA terms.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Evidence burden: </w:t>
      </w:r>
      <w:r>
        <w:t xml:space="preserve">Administrative documentation of notices or a valid exception; it is not required to prove every row was exfiltrated.</w:t>
      </w:r>
    </w:p>
    <w:p>
      <w:pPr>
        <w:pStyle w:val="Heading2"/>
      </w:pPr>
      <w:r>
        <w:t xml:space="preserve">3.2  Incident 2 — Stolen, Unlocked Laptop Potentially Exposing PHI</w:t>
      </w:r>
    </w:p>
    <w:p>
      <w:pPr>
        <w:pStyle w:val="ListParagraph"/>
        <w:numPr>
          <w:ilvl w:val="0"/>
          <w:numId w:val="2"/>
        </w:numPr>
      </w:pPr>
      <w:r>
        <w:t xml:space="preserve">Evaluate whether PHI was made unusable / unreadable / indecipherable, or whether a low-probability breach can be documented.</w:t>
      </w:r>
    </w:p>
    <w:p>
      <w:pPr>
        <w:pStyle w:val="ListParagraph"/>
        <w:numPr>
          <w:ilvl w:val="0"/>
          <w:numId w:val="2"/>
        </w:numPr>
      </w:pPr>
      <w:r>
        <w:t xml:space="preserve">Encryption safe-harbor depends on compliant encryption and uncompromised keys. (Laptop had FileVault enabled but used a 4-digit PIN.)</w:t>
      </w:r>
    </w:p>
    <w:p>
      <w:pPr>
        <w:pStyle w:val="ListParagraph"/>
        <w:numPr>
          <w:ilvl w:val="0"/>
          <w:numId w:val="2"/>
        </w:numPr>
      </w:pPr>
      <w:r>
        <w:t xml:space="preserve">If evidence shows PHI could be accessed via open sessions or offline cache, treat as a suspected breach.</w:t>
      </w:r>
    </w:p>
    <w:p>
      <w:pPr>
        <w:pStyle w:val="ListParagraph"/>
        <w:numPr>
          <w:ilvl w:val="0"/>
          <w:numId w:val="2"/>
        </w:numPr>
      </w:pPr>
      <w:r>
        <w:t xml:space="preserve">Notify Harmoni under the BAA and proceed with a formal risk assessment.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Treat both events as concurrent incidents with potential overlap; maintain separate evidence sets while acknowledging possible common factors.</w:t>
      </w:r>
    </w:p>
    <w:p>
      <w:pPr>
        <w:pStyle w:val="Heading1"/>
      </w:pPr>
      <w:r>
        <w:t xml:space="preserve">4. Response to Leadership</w:t>
      </w:r>
    </w:p>
    <w:p>
      <w:pPr>
        <w:spacing w:after="120"/>
      </w:pPr>
      <w:r>
        <w:t xml:space="preserve">The recommended stance is </w:t>
      </w:r>
      <w:r>
        <w:rPr>
          <w:b/>
          <w:bCs/>
        </w:rPr>
        <w:t xml:space="preserve">proactive transparency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Do not default to silence.</w:t>
      </w:r>
    </w:p>
    <w:p>
      <w:pPr>
        <w:pStyle w:val="ListParagraph"/>
        <w:numPr>
          <w:ilvl w:val="0"/>
          <w:numId w:val="2"/>
        </w:numPr>
      </w:pPr>
      <w:r>
        <w:t xml:space="preserve">HIPAA permits a breach presumption without definitive proof of exfiltration.</w:t>
      </w:r>
    </w:p>
    <w:p>
      <w:pPr>
        <w:pStyle w:val="ListParagraph"/>
        <w:numPr>
          <w:ilvl w:val="0"/>
          <w:numId w:val="2"/>
        </w:numPr>
      </w:pPr>
      <w:r>
        <w:t xml:space="preserve">Initiate counsel and forensic processes immediately.</w:t>
      </w:r>
    </w:p>
    <w:p>
      <w:pPr>
        <w:pStyle w:val="ListParagraph"/>
        <w:numPr>
          <w:ilvl w:val="0"/>
          <w:numId w:val="2"/>
        </w:numPr>
      </w:pPr>
      <w:r>
        <w:t xml:space="preserve">Provide verified updates as scope clarifies.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 not prematurely attribute responsibility; balance timely notification with evidentiary grounding.</w:t>
      </w:r>
    </w:p>
    <w:p>
      <w:pPr>
        <w:pStyle w:val="Heading1"/>
      </w:pPr>
      <w:r>
        <w:t xml:space="preserve">5. Priority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Service-account compromise </w:t>
      </w:r>
      <w:r>
        <w:t xml:space="preserve">is prioritized for containment and legal assessment due to confirmed unauthorized reads and public credential exposure.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Laptop incident </w:t>
      </w:r>
      <w:r>
        <w:t xml:space="preserve">is run as a concurrent P1 stream to assess additional exposure risk, including potential PHI access via open sessions.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Maintain a unified timeline and a single HIPAA risk assessment across both incidents.</w:t>
      </w:r>
    </w:p>
    <w:p>
      <w:pPr>
        <w:pStyle w:val="Heading1"/>
      </w:pPr>
      <w:r>
        <w:t xml:space="preserve">6. References</w:t>
      </w:r>
    </w:p>
    <w:p>
      <w:pPr>
        <w:spacing w:after="80"/>
      </w:pPr>
      <w:r>
        <w:t xml:space="preserve">Sources cited in the structured result: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and security governance: </w:t>
      </w:r>
      <w:r>
        <w:t xml:space="preserve">Cloud audit / logging documentation, Cloud SQL audit-logging, credential-compromise guidance, key rotation.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Identity / security controls: </w:t>
      </w:r>
      <w:r>
        <w:t xml:space="preserve">Entra / Microsoft sign-ins and session revocation guidance.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HIPAA guidance: </w:t>
      </w:r>
      <w:r>
        <w:t xml:space="preserve">HHS breach-notification guidelines and risk-assessment factors.</w:t>
      </w:r>
    </w:p>
    <w:p>
      <w:pPr>
        <w:pStyle w:val="Heading1"/>
      </w:pPr>
      <w:r>
        <w:t xml:space="preserve">7. Notes</w:t>
      </w:r>
    </w:p>
    <w:p>
      <w:pPr>
        <w:pStyle w:val="ListParagraph"/>
        <w:numPr>
          <w:ilvl w:val="0"/>
          <w:numId w:val="2"/>
        </w:numPr>
      </w:pPr>
      <w:r>
        <w:t xml:space="preserve">This summary preserves all facts and explicit numbers (e.g., 14 reads, 2 incidents, 0–60 minute time boxes) exactly as stated.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new inferences or actions beyond those described in the structured result have been added.</w:t>
      </w:r>
    </w:p>
    <w:p>
      <w:pPr>
        <w:pBdr>
          <w:top w:val="single" w:color="CCCCCC" w:sz="6" w:space="12"/>
        </w:pBdr>
        <w:spacing w:before="300"/>
      </w:pPr>
      <w:r>
        <w:rPr>
          <w:b/>
          <w:bCs/>
          <w:color w:val="666666"/>
          <w:sz w:val="18"/>
          <w:szCs w:val="18"/>
        </w:rPr>
        <w:t xml:space="preserve">Document Context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Module 2 Task: Live incident handling, forensic analysis, HIPAA breach determination, and executive communication. Scenario begins at 2:00 AM Tuesday with an automated alert of anomalous use of a GCP service-account key tied to Cloud SQL containing PHI. Two concurrent events (service-account compromise + stolen unlocked laptop) must be managed. Key regulatory context: Ajaia is a Business Associate to Harmoni under a signed BAA.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8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8"/>
      </w:pBdr>
    </w:pPr>
    <w:r>
      <w:rPr>
        <w:rFonts w:ascii="Arial" w:cs="Arial" w:eastAsia="Arial" w:hAnsi="Arial"/>
        <w:color w:val="666666"/>
        <w:sz w:val="18"/>
        <w:szCs w:val="18"/>
      </w:rPr>
      <w:t xml:space="preserve">Ajaia AI Consultancy  |  Module 2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 w:before="0"/>
      <w:jc w:val="center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2026-10-26T05:54:08.507Z</dcterms:created>
  <dcterms:modified xsi:type="dcterms:W3CDTF">2026-10-26T05:54:08.507Z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