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color w:val="1F4E79"/>
          <w:sz w:val="40"/>
          <w:szCs w:val="40"/>
        </w:rPr>
        <w:t xml:space="preserve">Summary of Module 3</w:t>
      </w:r>
    </w:p>
    <w:p>
      <w:pPr>
        <w:spacing w:after="80"/>
        <w:jc w:val="center"/>
      </w:pPr>
      <w:r>
        <w:rPr>
          <w:b/>
          <w:bCs/>
          <w:color w:val="2E75B6"/>
          <w:sz w:val="28"/>
          <w:szCs w:val="28"/>
        </w:rPr>
        <w:t xml:space="preserve">Compliance Governance &amp; Policy</w:t>
      </w:r>
    </w:p>
    <w:p>
      <w:pPr>
        <w:spacing w:after="200"/>
        <w:jc w:val="center"/>
      </w:pPr>
      <w:r>
        <w:rPr>
          <w:i/>
          <w:iCs/>
          <w:color w:val="666666"/>
          <w:sz w:val="20"/>
          <w:szCs w:val="20"/>
        </w:rPr>
        <w:t xml:space="preserve">Multi-framework compliance, policy design, and PHI determination</w:t>
      </w:r>
    </w:p>
    <w:p>
      <w:pPr>
        <w:spacing w:after="200"/>
        <w:jc w:val="center"/>
      </w:pPr>
      <w:r>
        <w:rPr>
          <w:color w:val="444444"/>
          <w:sz w:val="18"/>
          <w:szCs w:val="18"/>
        </w:rPr>
        <w:t xml:space="preserve">Client: Ajaia AI Consultancy  |  Frameworks: HIPAA · FERPA · SOC 2  |  Context: Harmoni &amp; Ethos</w:t>
      </w:r>
    </w:p>
    <w:p>
      <w:pPr>
        <w:pBdr>
          <w:bottom w:val="single" w:color="C00000" w:sz="6" w:space="4"/>
        </w:pBdr>
        <w:spacing w:after="400"/>
        <w:jc w:val="center"/>
      </w:pPr>
      <w:r>
        <w:rPr>
          <w:i/>
          <w:iCs/>
          <w:color w:val="C00000"/>
          <w:sz w:val="16"/>
          <w:szCs w:val="16"/>
        </w:rPr>
        <w:t xml:space="preserve">Note: Partial summary based on the provided portion only. The structured result is untrusted and the excerpt is incomplete.</w:t>
      </w:r>
    </w:p>
    <w:p>
      <w:pPr>
        <w:pStyle w:val="Heading1"/>
      </w:pPr>
      <w:r>
        <w:t xml:space="preserve">1. Overview</w:t>
      </w:r>
    </w:p>
    <w:p>
      <w:pPr>
        <w:spacing w:after="120"/>
      </w:pPr>
      <w:r>
        <w:t xml:space="preserve">Module 3 addresses Compliance Governance &amp; Policy for the Ajaia / Harmoni / Ethos context. It proposes a single risk-based security and privacy program with framework overlays for HIPAA/HITECH, FERPA, and SOC 2.</w:t>
      </w:r>
    </w:p>
    <w:p>
      <w:pPr>
        <w:pStyle w:val="ListParagraph"/>
        <w:numPr>
          <w:ilvl w:val="0"/>
          <w:numId w:val="2"/>
        </w:numPr>
      </w:pPr>
      <w:r>
        <w:t xml:space="preserve">Emphasizes a common control foundation mapped across the three frameworks and details overlaps and divergences among HIPAA, FERPA, and SOC 2.</w:t>
      </w:r>
    </w:p>
    <w:p>
      <w:pPr>
        <w:pStyle w:val="ListParagraph"/>
        <w:numPr>
          <w:ilvl w:val="0"/>
          <w:numId w:val="2"/>
        </w:numPr>
      </w:pPr>
      <w:r>
        <w:t xml:space="preserve">Recommends an operating model of one unified program with three overlays, plus a data-governance and evidence-management approach.</w:t>
      </w:r>
    </w:p>
    <w:p>
      <w:pPr>
        <w:pStyle w:val="ListParagraph"/>
        <w:numPr>
          <w:ilvl w:val="0"/>
          <w:numId w:val="2"/>
        </w:numPr>
      </w:pPr>
      <w:r>
        <w:t xml:space="preserve">Includes a draft for Part B (CEO memo on Harmoni PHI and AI APIs) and Part C (exhaustive policy gap analysis) with gaps identified and remediation guidance.</w:t>
      </w:r>
    </w:p>
    <w:p>
      <w:pPr>
        <w:pStyle w:val="ListParagraph"/>
        <w:numPr>
          <w:ilvl w:val="0"/>
          <w:numId w:val="2"/>
        </w:numPr>
        <w:spacing w:after="200"/>
      </w:pPr>
      <w:r>
        <w:t xml:space="preserve">Includes a 90-day governance plan (high-level milestones) and a substantial reference list.</w:t>
      </w:r>
    </w:p>
    <w:p>
      <w:pPr>
        <w:pStyle w:val="Heading1"/>
      </w:pPr>
      <w:r>
        <w:t xml:space="preserve">2. Recommended Operating Model</w:t>
      </w:r>
    </w:p>
    <w:p>
      <w:pPr>
        <w:spacing w:after="120"/>
      </w:pPr>
      <w:r>
        <w:t xml:space="preserve">Operate one </w:t>
      </w:r>
      <w:r>
        <w:rPr>
          <w:b/>
          <w:bCs/>
        </w:rPr>
        <w:t xml:space="preserve">“Ajaia Trust, Security &amp; Privacy Program”</w:t>
      </w:r>
      <w:r>
        <w:t xml:space="preserve"> with three framework overlays and a single evidence item per control when possible. Avoid claiming compliance solely due to framework presence.</w:t>
      </w:r>
    </w:p>
    <w:p>
      <w:pPr>
        <w:pStyle w:val="Heading2"/>
      </w:pPr>
      <w:r>
        <w:t xml:space="preserve">2.1  Common Program Elements Across Overlays</w:t>
      </w:r>
    </w:p>
    <w:p>
      <w:pPr>
        <w:pStyle w:val="ListParagraph"/>
        <w:numPr>
          <w:ilvl w:val="0"/>
          <w:numId w:val="2"/>
        </w:numPr>
      </w:pPr>
      <w:r>
        <w:t xml:space="preserve">Governance</w:t>
      </w:r>
    </w:p>
    <w:p>
      <w:pPr>
        <w:pStyle w:val="ListParagraph"/>
        <w:numPr>
          <w:ilvl w:val="0"/>
          <w:numId w:val="2"/>
        </w:numPr>
      </w:pPr>
      <w:r>
        <w:t xml:space="preserve">Asset / data inventories</w:t>
      </w:r>
    </w:p>
    <w:p>
      <w:pPr>
        <w:pStyle w:val="ListParagraph"/>
        <w:numPr>
          <w:ilvl w:val="0"/>
          <w:numId w:val="2"/>
        </w:numPr>
      </w:pPr>
      <w:r>
        <w:t xml:space="preserve">Risk analysis and treatment</w:t>
      </w:r>
    </w:p>
    <w:p>
      <w:pPr>
        <w:pStyle w:val="ListParagraph"/>
        <w:numPr>
          <w:ilvl w:val="0"/>
          <w:numId w:val="2"/>
        </w:numPr>
      </w:pPr>
      <w:r>
        <w:t xml:space="preserve">Identity and access controls</w:t>
      </w:r>
    </w:p>
    <w:p>
      <w:pPr>
        <w:pStyle w:val="ListParagraph"/>
        <w:numPr>
          <w:ilvl w:val="0"/>
          <w:numId w:val="2"/>
        </w:numPr>
      </w:pPr>
      <w:r>
        <w:t xml:space="preserve">Secure configuration</w:t>
      </w:r>
    </w:p>
    <w:p>
      <w:pPr>
        <w:pStyle w:val="ListParagraph"/>
        <w:numPr>
          <w:ilvl w:val="0"/>
          <w:numId w:val="2"/>
        </w:numPr>
      </w:pPr>
      <w:r>
        <w:t xml:space="preserve">Encryption and key management</w:t>
      </w:r>
    </w:p>
    <w:p>
      <w:pPr>
        <w:pStyle w:val="ListParagraph"/>
        <w:numPr>
          <w:ilvl w:val="0"/>
          <w:numId w:val="2"/>
        </w:numPr>
      </w:pPr>
      <w:r>
        <w:t xml:space="preserve">Centralized logging and monitoring</w:t>
      </w:r>
    </w:p>
    <w:p>
      <w:pPr>
        <w:pStyle w:val="ListParagraph"/>
        <w:numPr>
          <w:ilvl w:val="0"/>
          <w:numId w:val="2"/>
        </w:numPr>
      </w:pPr>
      <w:r>
        <w:t xml:space="preserve">Incident response and evidence preservation</w:t>
      </w:r>
    </w:p>
    <w:p>
      <w:pPr>
        <w:pStyle w:val="ListParagraph"/>
        <w:numPr>
          <w:ilvl w:val="0"/>
          <w:numId w:val="2"/>
        </w:numPr>
      </w:pPr>
      <w:r>
        <w:t xml:space="preserve">Business continuity</w:t>
      </w:r>
    </w:p>
    <w:p>
      <w:pPr>
        <w:pStyle w:val="ListParagraph"/>
        <w:numPr>
          <w:ilvl w:val="0"/>
          <w:numId w:val="2"/>
        </w:numPr>
      </w:pPr>
      <w:r>
        <w:t xml:space="preserve">Supplier due diligence / subprocessors</w:t>
      </w:r>
    </w:p>
    <w:p>
      <w:pPr>
        <w:pStyle w:val="ListParagraph"/>
        <w:numPr>
          <w:ilvl w:val="0"/>
          <w:numId w:val="2"/>
        </w:numPr>
      </w:pPr>
      <w:r>
        <w:t xml:space="preserve">Workforce training</w:t>
      </w:r>
    </w:p>
    <w:p>
      <w:pPr>
        <w:pStyle w:val="ListParagraph"/>
        <w:numPr>
          <w:ilvl w:val="0"/>
          <w:numId w:val="2"/>
        </w:numPr>
        <w:spacing w:after="200"/>
      </w:pPr>
      <w:r>
        <w:t xml:space="preserve">Documented evidence and remediation ownership</w:t>
      </w:r>
    </w:p>
    <w:p>
      <w:pPr>
        <w:pStyle w:val="Heading1"/>
      </w:pPr>
      <w:r>
        <w:t xml:space="preserve">3. Framework References — Overlaps &amp; Divergences</w:t>
      </w:r>
    </w:p>
    <w:p>
      <w:pPr>
        <w:pStyle w:val="Heading2"/>
      </w:pPr>
      <w:r>
        <w:t xml:space="preserve">3.1  HIPAA</w:t>
      </w:r>
    </w:p>
    <w:p>
      <w:pPr>
        <w:pStyle w:val="ListParagraph"/>
        <w:numPr>
          <w:ilvl w:val="0"/>
          <w:numId w:val="2"/>
        </w:numPr>
      </w:pPr>
      <w:r>
        <w:t xml:space="preserve">ePHI protections</w:t>
      </w:r>
    </w:p>
    <w:p>
      <w:pPr>
        <w:pStyle w:val="ListParagraph"/>
        <w:numPr>
          <w:ilvl w:val="0"/>
          <w:numId w:val="2"/>
        </w:numPr>
      </w:pPr>
      <w:r>
        <w:t xml:space="preserve">Risk analysis and risk management</w:t>
      </w:r>
    </w:p>
    <w:p>
      <w:pPr>
        <w:pStyle w:val="ListParagraph"/>
        <w:numPr>
          <w:ilvl w:val="0"/>
          <w:numId w:val="2"/>
        </w:numPr>
      </w:pPr>
      <w:r>
        <w:t xml:space="preserve">Access management</w:t>
      </w:r>
    </w:p>
    <w:p>
      <w:pPr>
        <w:pStyle w:val="ListParagraph"/>
        <w:numPr>
          <w:ilvl w:val="0"/>
          <w:numId w:val="2"/>
        </w:numPr>
      </w:pPr>
      <w:r>
        <w:t xml:space="preserve">Contingency planning</w:t>
      </w:r>
    </w:p>
    <w:p>
      <w:pPr>
        <w:pStyle w:val="ListParagraph"/>
        <w:numPr>
          <w:ilvl w:val="0"/>
          <w:numId w:val="2"/>
        </w:numPr>
      </w:pPr>
      <w:r>
        <w:t xml:space="preserve">Documentation requirements</w:t>
      </w:r>
    </w:p>
    <w:p>
      <w:pPr>
        <w:pStyle w:val="ListParagraph"/>
        <w:numPr>
          <w:ilvl w:val="0"/>
          <w:numId w:val="2"/>
        </w:numPr>
        <w:spacing w:after="120"/>
      </w:pPr>
      <w:r>
        <w:t xml:space="preserve">BAA requirements for business associates</w:t>
      </w:r>
    </w:p>
    <w:p>
      <w:pPr>
        <w:pStyle w:val="Heading2"/>
      </w:pPr>
      <w:r>
        <w:t xml:space="preserve">3.2  FERPA</w:t>
      </w:r>
    </w:p>
    <w:p>
      <w:pPr>
        <w:pStyle w:val="ListParagraph"/>
        <w:numPr>
          <w:ilvl w:val="0"/>
          <w:numId w:val="2"/>
        </w:numPr>
      </w:pPr>
      <w:r>
        <w:t xml:space="preserve">School-official exception</w:t>
      </w:r>
    </w:p>
    <w:p>
      <w:pPr>
        <w:pStyle w:val="ListParagraph"/>
        <w:numPr>
          <w:ilvl w:val="0"/>
          <w:numId w:val="2"/>
        </w:numPr>
      </w:pPr>
      <w:r>
        <w:t xml:space="preserve">Education-record PII</w:t>
      </w:r>
    </w:p>
    <w:p>
      <w:pPr>
        <w:pStyle w:val="ListParagraph"/>
        <w:numPr>
          <w:ilvl w:val="0"/>
          <w:numId w:val="2"/>
        </w:numPr>
      </w:pPr>
      <w:r>
        <w:t xml:space="preserve">Direct control requirements</w:t>
      </w:r>
    </w:p>
    <w:p>
      <w:pPr>
        <w:pStyle w:val="ListParagraph"/>
        <w:numPr>
          <w:ilvl w:val="0"/>
          <w:numId w:val="2"/>
        </w:numPr>
      </w:pPr>
      <w:r>
        <w:t xml:space="preserve">Redisclosure limits</w:t>
      </w:r>
    </w:p>
    <w:p>
      <w:pPr>
        <w:pStyle w:val="ListParagraph"/>
        <w:numPr>
          <w:ilvl w:val="0"/>
          <w:numId w:val="2"/>
        </w:numPr>
        <w:spacing w:after="120"/>
      </w:pPr>
      <w:r>
        <w:t xml:space="preserve">Need for contractual and operational controls with vendors</w:t>
      </w:r>
    </w:p>
    <w:p>
      <w:pPr>
        <w:pStyle w:val="Heading2"/>
      </w:pPr>
      <w:r>
        <w:t xml:space="preserve">3.3  SOC 2</w:t>
      </w:r>
    </w:p>
    <w:p>
      <w:pPr>
        <w:pStyle w:val="ListParagraph"/>
        <w:numPr>
          <w:ilvl w:val="0"/>
          <w:numId w:val="2"/>
        </w:numPr>
      </w:pPr>
      <w:r>
        <w:t xml:space="preserve">Trust Services Criteria covering:</w:t>
      </w:r>
    </w:p>
    <w:p>
      <w:pPr>
        <w:pStyle w:val="ListParagraph"/>
        <w:numPr>
          <w:ilvl w:val="0"/>
          <w:numId w:val="3"/>
        </w:numPr>
      </w:pPr>
      <w:r>
        <w:t xml:space="preserve">Governance</w:t>
      </w:r>
    </w:p>
    <w:p>
      <w:pPr>
        <w:pStyle w:val="ListParagraph"/>
        <w:numPr>
          <w:ilvl w:val="0"/>
          <w:numId w:val="3"/>
        </w:numPr>
      </w:pPr>
      <w:r>
        <w:t xml:space="preserve">Risk assessment</w:t>
      </w:r>
    </w:p>
    <w:p>
      <w:pPr>
        <w:pStyle w:val="ListParagraph"/>
        <w:numPr>
          <w:ilvl w:val="0"/>
          <w:numId w:val="3"/>
        </w:numPr>
      </w:pPr>
      <w:r>
        <w:t xml:space="preserve">Control activities</w:t>
      </w:r>
    </w:p>
    <w:p>
      <w:pPr>
        <w:pStyle w:val="ListParagraph"/>
        <w:numPr>
          <w:ilvl w:val="0"/>
          <w:numId w:val="3"/>
        </w:numPr>
      </w:pPr>
      <w:r>
        <w:t xml:space="preserve">Monitoring</w:t>
      </w:r>
    </w:p>
    <w:p>
      <w:pPr>
        <w:pStyle w:val="ListParagraph"/>
        <w:numPr>
          <w:ilvl w:val="0"/>
          <w:numId w:val="3"/>
        </w:numPr>
      </w:pPr>
      <w:r>
        <w:t xml:space="preserve">Logical access</w:t>
      </w:r>
    </w:p>
    <w:p>
      <w:pPr>
        <w:pStyle w:val="ListParagraph"/>
        <w:numPr>
          <w:ilvl w:val="0"/>
          <w:numId w:val="3"/>
        </w:numPr>
      </w:pPr>
      <w:r>
        <w:t xml:space="preserve">Change management</w:t>
      </w:r>
    </w:p>
    <w:p>
      <w:pPr>
        <w:pStyle w:val="ListParagraph"/>
        <w:numPr>
          <w:ilvl w:val="0"/>
          <w:numId w:val="3"/>
        </w:numPr>
      </w:pPr>
      <w:r>
        <w:t xml:space="preserve">System operations</w:t>
      </w:r>
    </w:p>
    <w:p>
      <w:pPr>
        <w:pStyle w:val="ListParagraph"/>
        <w:numPr>
          <w:ilvl w:val="0"/>
          <w:numId w:val="3"/>
        </w:numPr>
        <w:spacing w:after="200"/>
      </w:pPr>
      <w:r>
        <w:t xml:space="preserve">Vendor management</w:t>
      </w:r>
    </w:p>
    <w:p>
      <w:pPr>
        <w:pStyle w:val="Heading1"/>
      </w:pPr>
      <w:r>
        <w:t xml:space="preserve">4. Part B — Ethos / HIPAA / FERPA Considerations (Key Points)</w:t>
      </w:r>
    </w:p>
    <w:p>
      <w:pPr>
        <w:spacing w:after="80"/>
      </w:pPr>
      <w:r>
        <w:t xml:space="preserve">The structured result includes a draft CEO memo addressing Harmoni PHI and AI APIs. Key points retained:</w:t>
      </w:r>
    </w:p>
    <w:p>
      <w:pPr>
        <w:pStyle w:val="ListParagraph"/>
        <w:numPr>
          <w:ilvl w:val="0"/>
          <w:numId w:val="2"/>
        </w:numPr>
      </w:pPr>
      <w:r>
        <w:t xml:space="preserve">Data minimization</w:t>
      </w:r>
    </w:p>
    <w:p>
      <w:pPr>
        <w:pStyle w:val="ListParagraph"/>
        <w:numPr>
          <w:ilvl w:val="0"/>
          <w:numId w:val="2"/>
        </w:numPr>
      </w:pPr>
      <w:r>
        <w:t xml:space="preserve">De-identification versus expert determination</w:t>
      </w:r>
    </w:p>
    <w:p>
      <w:pPr>
        <w:pStyle w:val="ListParagraph"/>
        <w:numPr>
          <w:ilvl w:val="0"/>
          <w:numId w:val="2"/>
        </w:numPr>
      </w:pPr>
      <w:r>
        <w:t xml:space="preserve">BAA requirements with API providers</w:t>
      </w:r>
    </w:p>
    <w:p>
      <w:pPr>
        <w:pStyle w:val="ListParagraph"/>
        <w:numPr>
          <w:ilvl w:val="0"/>
          <w:numId w:val="2"/>
        </w:numPr>
        <w:spacing w:after="200"/>
      </w:pPr>
      <w:r>
        <w:t xml:space="preserve">Conditional production of PHI calls</w:t>
      </w:r>
    </w:p>
    <w:p>
      <w:pPr>
        <w:pStyle w:val="Heading1"/>
      </w:pPr>
      <w:r>
        <w:t xml:space="preserve">5. Part C — Policy Gap Analysis (Highlights)</w:t>
      </w:r>
    </w:p>
    <w:p>
      <w:pPr>
        <w:spacing w:after="120"/>
      </w:pPr>
      <w:r>
        <w:t xml:space="preserve">The structured result identifies numerous policy gaps across the draft Incident Response and Data Classification policies, with recommended remediation for each. Categories of gaps include:</w:t>
      </w:r>
    </w:p>
    <w:p>
      <w:pPr>
        <w:pStyle w:val="ListParagraph"/>
        <w:numPr>
          <w:ilvl w:val="0"/>
          <w:numId w:val="2"/>
        </w:numPr>
      </w:pPr>
      <w:r>
        <w:t xml:space="preserve">Incident response timing, taxonomy of incidents, and breach-notification timelines</w:t>
      </w:r>
    </w:p>
    <w:p>
      <w:pPr>
        <w:pStyle w:val="ListParagraph"/>
        <w:numPr>
          <w:ilvl w:val="0"/>
          <w:numId w:val="2"/>
        </w:numPr>
      </w:pPr>
      <w:r>
        <w:t xml:space="preserve">Evidence preservation and forensic procedures</w:t>
      </w:r>
    </w:p>
    <w:p>
      <w:pPr>
        <w:pStyle w:val="ListParagraph"/>
        <w:numPr>
          <w:ilvl w:val="0"/>
          <w:numId w:val="2"/>
        </w:numPr>
      </w:pPr>
      <w:r>
        <w:t xml:space="preserve">Data classification and handling procedures per tier</w:t>
      </w:r>
    </w:p>
    <w:p>
      <w:pPr>
        <w:pStyle w:val="ListParagraph"/>
        <w:numPr>
          <w:ilvl w:val="0"/>
          <w:numId w:val="2"/>
        </w:numPr>
      </w:pPr>
      <w:r>
        <w:t xml:space="preserve">Data subjects / owners and data integrity / availability</w:t>
      </w:r>
    </w:p>
    <w:p>
      <w:pPr>
        <w:pStyle w:val="ListParagraph"/>
        <w:numPr>
          <w:ilvl w:val="0"/>
          <w:numId w:val="2"/>
        </w:numPr>
      </w:pPr>
      <w:r>
        <w:t xml:space="preserve">Logging and auditability</w:t>
      </w:r>
    </w:p>
    <w:p>
      <w:pPr>
        <w:pStyle w:val="ListParagraph"/>
        <w:numPr>
          <w:ilvl w:val="0"/>
          <w:numId w:val="2"/>
        </w:numPr>
      </w:pPr>
      <w:r>
        <w:t xml:space="preserve">Vendor / subprocessor controls and incident paths</w:t>
      </w:r>
    </w:p>
    <w:p>
      <w:pPr>
        <w:pStyle w:val="ListParagraph"/>
        <w:numPr>
          <w:ilvl w:val="0"/>
          <w:numId w:val="2"/>
        </w:numPr>
      </w:pPr>
      <w:r>
        <w:t xml:space="preserve">Retention and deletion</w:t>
      </w:r>
    </w:p>
    <w:p>
      <w:pPr>
        <w:pStyle w:val="ListParagraph"/>
        <w:numPr>
          <w:ilvl w:val="0"/>
          <w:numId w:val="2"/>
        </w:numPr>
        <w:spacing w:after="120"/>
      </w:pPr>
      <w:r>
        <w:t xml:space="preserve">Workforce training</w:t>
      </w:r>
    </w:p>
    <w:p>
      <w:pPr>
        <w:spacing w:after="200"/>
      </w:pPr>
      <w:r>
        <w:rPr>
          <w:b/>
          <w:bCs/>
        </w:rPr>
        <w:t xml:space="preserve">Important caution: </w:t>
      </w:r>
      <w:r>
        <w:t xml:space="preserve">The policy drafts are summaries and not enforceable policies. They must be replaced with approved policies, procedures, standards, and playbooks.</w:t>
      </w:r>
    </w:p>
    <w:p>
      <w:pPr>
        <w:pStyle w:val="Heading1"/>
      </w:pPr>
      <w:r>
        <w:t xml:space="preserve">6. 90-Day Governance Priorities</w:t>
      </w:r>
    </w:p>
    <w:p>
      <w:pPr>
        <w:spacing w:after="80"/>
      </w:pPr>
      <w:r>
        <w:t xml:space="preserve">High-level milestones retained from the structured result:</w:t>
      </w:r>
    </w:p>
    <w:p>
      <w:pPr>
        <w:pStyle w:val="ListParagraph"/>
        <w:numPr>
          <w:ilvl w:val="0"/>
          <w:numId w:val="2"/>
        </w:numPr>
      </w:pPr>
      <w:r>
        <w:t xml:space="preserve">Appoint roles and ownership</w:t>
      </w:r>
    </w:p>
    <w:p>
      <w:pPr>
        <w:pStyle w:val="ListParagraph"/>
        <w:numPr>
          <w:ilvl w:val="0"/>
          <w:numId w:val="2"/>
        </w:numPr>
      </w:pPr>
      <w:r>
        <w:t xml:space="preserve">Freeze unapproved data transfers</w:t>
      </w:r>
    </w:p>
    <w:p>
      <w:pPr>
        <w:pStyle w:val="ListParagraph"/>
        <w:numPr>
          <w:ilvl w:val="0"/>
          <w:numId w:val="2"/>
        </w:numPr>
      </w:pPr>
      <w:r>
        <w:t xml:space="preserve">Inventory data flows and vendors</w:t>
      </w:r>
    </w:p>
    <w:p>
      <w:pPr>
        <w:pStyle w:val="ListParagraph"/>
        <w:numPr>
          <w:ilvl w:val="0"/>
          <w:numId w:val="2"/>
        </w:numPr>
      </w:pPr>
      <w:r>
        <w:t xml:space="preserve">Reclassify data</w:t>
      </w:r>
    </w:p>
    <w:p>
      <w:pPr>
        <w:pStyle w:val="ListParagraph"/>
        <w:numPr>
          <w:ilvl w:val="0"/>
          <w:numId w:val="2"/>
        </w:numPr>
      </w:pPr>
      <w:r>
        <w:t xml:space="preserve">Approve the policy set</w:t>
      </w:r>
    </w:p>
    <w:p>
      <w:pPr>
        <w:pStyle w:val="ListParagraph"/>
        <w:numPr>
          <w:ilvl w:val="0"/>
          <w:numId w:val="2"/>
        </w:numPr>
      </w:pPr>
      <w:r>
        <w:t xml:space="preserve">Execute BAAs</w:t>
      </w:r>
    </w:p>
    <w:p>
      <w:pPr>
        <w:pStyle w:val="ListParagraph"/>
        <w:numPr>
          <w:ilvl w:val="0"/>
          <w:numId w:val="2"/>
        </w:numPr>
      </w:pPr>
      <w:r>
        <w:t xml:space="preserve">Implement MFA and secrets management</w:t>
      </w:r>
    </w:p>
    <w:p>
      <w:pPr>
        <w:pStyle w:val="ListParagraph"/>
        <w:numPr>
          <w:ilvl w:val="0"/>
          <w:numId w:val="2"/>
        </w:numPr>
      </w:pPr>
      <w:r>
        <w:t xml:space="preserve">Deploy RBAC and centralized logging</w:t>
      </w:r>
    </w:p>
    <w:p>
      <w:pPr>
        <w:pStyle w:val="ListParagraph"/>
        <w:numPr>
          <w:ilvl w:val="0"/>
          <w:numId w:val="2"/>
        </w:numPr>
      </w:pPr>
      <w:r>
        <w:t xml:space="preserve">Strengthen backup and evidence preservation</w:t>
      </w:r>
    </w:p>
    <w:p>
      <w:pPr>
        <w:pStyle w:val="ListParagraph"/>
        <w:numPr>
          <w:ilvl w:val="0"/>
          <w:numId w:val="2"/>
        </w:numPr>
      </w:pPr>
      <w:r>
        <w:t xml:space="preserve">Conduct tabletop exercises</w:t>
      </w:r>
    </w:p>
    <w:p>
      <w:pPr>
        <w:pStyle w:val="ListParagraph"/>
        <w:numPr>
          <w:ilvl w:val="0"/>
          <w:numId w:val="2"/>
        </w:numPr>
      </w:pPr>
      <w:r>
        <w:t xml:space="preserve">Produce SOC 2 system description</w:t>
      </w:r>
    </w:p>
    <w:p>
      <w:pPr>
        <w:pStyle w:val="ListParagraph"/>
        <w:numPr>
          <w:ilvl w:val="0"/>
          <w:numId w:val="2"/>
        </w:numPr>
        <w:spacing w:after="200"/>
      </w:pPr>
      <w:r>
        <w:t xml:space="preserve">Complete HIPAA and FERPA risk analyses</w:t>
      </w:r>
    </w:p>
    <w:p>
      <w:pPr>
        <w:pStyle w:val="Heading1"/>
      </w:pPr>
      <w:r>
        <w:t xml:space="preserve">7. Notable Gaps and Cautions</w:t>
      </w:r>
    </w:p>
    <w:p>
      <w:pPr>
        <w:pStyle w:val="ListParagraph"/>
        <w:numPr>
          <w:ilvl w:val="0"/>
          <w:numId w:val="2"/>
        </w:numPr>
      </w:pPr>
      <w:r>
        <w:t xml:space="preserve">The excerpt lists many identified gaps with specific remediation steps (e.g., incident-response timing, taxonomy of incidents, breach-notification timelines, evidence preservation, vendor incident paths, training). These are presented as gaps and proposed actions, not as finalized policy language.</w:t>
      </w:r>
    </w:p>
    <w:p>
      <w:pPr>
        <w:pStyle w:val="ListParagraph"/>
        <w:numPr>
          <w:ilvl w:val="0"/>
          <w:numId w:val="2"/>
        </w:numPr>
        <w:spacing w:after="200"/>
      </w:pPr>
      <w:r>
        <w:t xml:space="preserve">The summary explicitly notes that the policy drafts are summaries and not enforceable policies; they must be replaced with approved policies, procedures, standards, and playbooks.</w:t>
      </w:r>
    </w:p>
    <w:p>
      <w:pPr>
        <w:pStyle w:val="Heading1"/>
      </w:pPr>
      <w:r>
        <w:t xml:space="preserve">8. Limitations of This Partial Summary</w:t>
      </w:r>
    </w:p>
    <w:p>
      <w:pPr>
        <w:pStyle w:val="ListParagraph"/>
        <w:numPr>
          <w:ilvl w:val="0"/>
          <w:numId w:val="2"/>
        </w:numPr>
      </w:pPr>
      <w:r>
        <w:t xml:space="preserve">This is a partial summary constrained to the provided fragment.</w:t>
      </w:r>
    </w:p>
    <w:p>
      <w:pPr>
        <w:pStyle w:val="ListParagraph"/>
        <w:numPr>
          <w:ilvl w:val="0"/>
          <w:numId w:val="2"/>
        </w:numPr>
      </w:pPr>
      <w:r>
        <w:t xml:space="preserve">It does not cover any content beyond the included excerpt, including any additional sections, appendices, or referenced content that may follow.</w:t>
      </w:r>
    </w:p>
    <w:p>
      <w:pPr>
        <w:pStyle w:val="ListParagraph"/>
        <w:numPr>
          <w:ilvl w:val="0"/>
          <w:numId w:val="2"/>
        </w:numPr>
        <w:spacing w:after="200"/>
      </w:pPr>
      <w:r>
        <w:t xml:space="preserve">No evaluation of the overall completeness or compliance status beyond what is in the excerpt is provided.</w:t>
      </w:r>
    </w:p>
    <w:p>
      <w:pPr>
        <w:pStyle w:val="Heading1"/>
      </w:pPr>
      <w:r>
        <w:t xml:space="preserve">9. Notes</w:t>
      </w:r>
    </w:p>
    <w:p>
      <w:pPr>
        <w:pStyle w:val="ListParagraph"/>
        <w:numPr>
          <w:ilvl w:val="0"/>
          <w:numId w:val="2"/>
        </w:numPr>
      </w:pPr>
      <w:r>
        <w:t xml:space="preserve">Key elements (facts and terms) have been preserved exactly as stated in the provided portion.</w:t>
      </w:r>
    </w:p>
    <w:p>
      <w:pPr>
        <w:pStyle w:val="ListParagraph"/>
        <w:numPr>
          <w:ilvl w:val="0"/>
          <w:numId w:val="2"/>
        </w:numPr>
        <w:spacing w:after="120"/>
      </w:pPr>
      <w:r>
        <w:t xml:space="preserve">No new inferences or completeness claims have been added beyond the partial excerpt.</w:t>
      </w:r>
    </w:p>
    <w:p>
      <w:pPr>
        <w:pBdr>
          <w:top w:val="single" w:color="CCCCCC" w:sz="6" w:space="12"/>
        </w:pBdr>
        <w:spacing w:before="300"/>
      </w:pPr>
      <w:r>
        <w:rPr>
          <w:b/>
          <w:bCs/>
          <w:color w:val="666666"/>
          <w:sz w:val="18"/>
          <w:szCs w:val="18"/>
        </w:rPr>
        <w:t xml:space="preserve">Document Context</w:t>
      </w:r>
    </w:p>
    <w:p>
      <w:pPr>
        <w:spacing w:after="60"/>
      </w:pPr>
      <w:r>
        <w:rPr>
          <w:i/>
          <w:iCs/>
          <w:color w:val="555555"/>
          <w:sz w:val="18"/>
          <w:szCs w:val="18"/>
        </w:rPr>
        <w:t xml:space="preserve">Module 3 Task: Multi-framework compliance, policy design, and PHI determination. Ajaia must maintain compliance across HIPAA (Harmoni healthcare client), FERPA (Ethos education client), and SOC 2 Type I (enterprise sales) under a unified approach requested by the CEO. No formal security policies exist today. Tasks cover program design, PHI determination for AI API usage, and gap analysis of draft Incident Response and Data Classification policies.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8"/>
      </w:pBdr>
      <w:jc w:val="center"/>
    </w:pPr>
    <w:r>
      <w:rPr>
        <w:rFonts w:ascii="Arial" w:cs="Arial" w:eastAsia="Arial" w:hAnsi="Arial"/>
        <w:color w:val="666666"/>
        <w:sz w:val="18"/>
        <w:szCs w:val="18"/>
      </w:rPr>
      <w:t xml:space="preserve">Confidential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8"/>
      </w:pBdr>
    </w:pPr>
    <w:r>
      <w:rPr>
        <w:rFonts w:ascii="Arial" w:cs="Arial" w:eastAsia="Arial" w:hAnsi="Arial"/>
        <w:color w:val="666666"/>
        <w:sz w:val="18"/>
        <w:szCs w:val="18"/>
      </w:rPr>
      <w:t xml:space="preserve">Ajaia AI Consultancy  |  Module 3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before="0"/>
      <w:jc w:val="center"/>
    </w:pPr>
    <w:rPr>
      <w:rFonts w:ascii="Arial" w:cs="Arial" w:eastAsia="Arial" w:hAnsi="Arial"/>
      <w:b/>
      <w:bCs/>
      <w:color w:val="1F4E79"/>
      <w:sz w:val="36"/>
      <w:szCs w:val="36"/>
    </w:rPr>
  </w:style>
  <w:style w:type="paragraph" w:styleId="Heading1">
    <w:name w:val="Heading 1"/>
    <w:basedOn w:val="Normal"/>
    <w:next w:val="Normal"/>
    <w:pPr>
      <w:spacing w:after="160" w:before="360"/>
      <w:outlineLvl w:val="0"/>
    </w:pPr>
    <w:rPr>
      <w:rFonts w:ascii="Arial" w:cs="Arial" w:eastAsia="Arial" w:hAnsi="Arial"/>
      <w:b/>
      <w:bCs/>
      <w:color w:val="1F4E79"/>
      <w:sz w:val="28"/>
      <w:szCs w:val="28"/>
    </w:rPr>
  </w:style>
  <w:style w:type="paragraph" w:styleId="Heading2">
    <w:name w:val="Heading 2"/>
    <w:basedOn w:val="Normal"/>
    <w:next w:val="Normal"/>
    <w:pPr>
      <w:spacing w:after="120" w:before="280"/>
      <w:outlineLvl w:val="1"/>
    </w:pPr>
    <w:rPr>
      <w:rFonts w:ascii="Arial" w:cs="Arial" w:eastAsia="Arial" w:hAnsi="Arial"/>
      <w:b/>
      <w:bCs/>
      <w:color w:val="2E75B6"/>
      <w:sz w:val="24"/>
      <w:szCs w:val="24"/>
    </w:rPr>
  </w:style>
  <w:style w:type="paragraph" w:styleId="Heading3">
    <w:name w:val="Heading 3"/>
    <w:basedOn w:val="Normal"/>
    <w:next w:val="Normal"/>
    <w:pPr>
      <w:spacing w:after="100" w:before="200"/>
      <w:outlineLvl w:val="2"/>
    </w:pPr>
    <w:rPr>
      <w:rFonts w:ascii="Arial" w:cs="Arial" w:eastAsia="Arial" w:hAnsi="Arial"/>
      <w:b/>
      <w:bCs/>
      <w:color w:val="5B9BD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2026-10-26T05:58:17.527Z</dcterms:created>
  <dcterms:modified xsi:type="dcterms:W3CDTF">2026-10-26T05:58:17.527Z</dcterms:modified>
</cp:coreProperties>
</file>

<file path=docProps/custom.xml><?xml version="1.0" encoding="utf-8"?>
<Properties xmlns="http://schemas.openxmlformats.org/officeDocument/2006/custom-properties" xmlns:vt="http://schemas.openxmlformats.org/officeDocument/2006/docPropsVTypes"/>
</file>