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Summary of Module 4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Vendor Risk, IAM &amp; IT Operations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Third-party assessment, access control design, and IT governance</w:t>
      </w:r>
    </w:p>
    <w:p>
      <w:pPr>
        <w:spacing w:after="400"/>
        <w:jc w:val="center"/>
      </w:pPr>
      <w:r>
        <w:rPr>
          <w:color w:val="444444"/>
          <w:sz w:val="18"/>
          <w:szCs w:val="18"/>
        </w:rPr>
        <w:t xml:space="preserve">Client: Ajaia AI Consultancy  |  Context: Harmoni PHI Vendor &amp; Enterprise RBAC Redesign</w:t>
      </w:r>
    </w:p>
    <w:p>
      <w:pPr>
        <w:pStyle w:val="Heading1"/>
      </w:pPr>
      <w:r>
        <w:t xml:space="preserve">1. Overall Stance — Vendor Assessment</w:t>
      </w:r>
    </w:p>
    <w:p>
      <w:pPr>
        <w:spacing w:after="120"/>
      </w:pPr>
      <w:r>
        <w:t xml:space="preserve">The vendor is </w:t>
      </w:r>
      <w:r>
        <w:rPr>
          <w:b/>
          <w:bCs/>
        </w:rPr>
        <w:t xml:space="preserve">not approved</w:t>
      </w:r>
      <w:r>
        <w:t xml:space="preserve"> as a HIPAA business associate based on the supplied summary. It should be treated as a </w:t>
      </w:r>
      <w:r>
        <w:rPr>
          <w:b/>
          <w:bCs/>
        </w:rPr>
        <w:t xml:space="preserve">prospective business associate</w:t>
      </w:r>
      <w:r>
        <w:t xml:space="preserve"> requiring:</w:t>
      </w:r>
    </w:p>
    <w:p>
      <w:pPr>
        <w:pStyle w:val="ListParagraph"/>
        <w:numPr>
          <w:ilvl w:val="0"/>
          <w:numId w:val="2"/>
        </w:numPr>
      </w:pPr>
      <w:r>
        <w:t xml:space="preserve">A signed BAA</w:t>
      </w:r>
    </w:p>
    <w:p>
      <w:pPr>
        <w:pStyle w:val="ListParagraph"/>
        <w:numPr>
          <w:ilvl w:val="0"/>
          <w:numId w:val="2"/>
        </w:numPr>
      </w:pPr>
      <w:r>
        <w:t xml:space="preserve">Data-processing terms</w:t>
      </w:r>
    </w:p>
    <w:p>
      <w:pPr>
        <w:pStyle w:val="ListParagraph"/>
        <w:numPr>
          <w:ilvl w:val="0"/>
          <w:numId w:val="2"/>
        </w:numPr>
      </w:pPr>
      <w:r>
        <w:t xml:space="preserve">A complete risk assessment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controlled pilot using synthetic / de-identified data</w:t>
      </w:r>
    </w:p>
    <w:p>
      <w:pPr>
        <w:spacing w:after="200"/>
      </w:pPr>
      <w:r>
        <w:t xml:space="preserve">The vendor’s current documentation is marketing-level and incomplete for risk acceptance.</w:t>
      </w:r>
    </w:p>
    <w:p>
      <w:pPr>
        <w:pStyle w:val="Heading1"/>
      </w:pPr>
      <w:r>
        <w:t xml:space="preserve">2. Key Red Flags and Requested Evidence</w:t>
      </w:r>
    </w:p>
    <w:p>
      <w:pPr>
        <w:pStyle w:val="Heading2"/>
      </w:pPr>
      <w:r>
        <w:t xml:space="preserve">2.1  SOC 2 Type II Claim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Claim without the full report. Require NDA-protected report with scope, period, auditor, subservice organizations, exceptions, bridge letters, and confirmation of PHI-relevant controls.</w:t>
      </w:r>
    </w:p>
    <w:p>
      <w:pPr>
        <w:pStyle w:val="Heading2"/>
      </w:pPr>
      <w:r>
        <w:t xml:space="preserve">2.2  Encryption Claims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AES-256 at rest and TLS 1.2 in transit stated without details on key management, tenant isolation, and related controls.</w:t>
      </w:r>
    </w:p>
    <w:p>
      <w:pPr>
        <w:pStyle w:val="Heading2"/>
      </w:pPr>
      <w:r>
        <w:t xml:space="preserve">2.3  Non-Use of Customer Data for Training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Lacks explicit contractual prohibitions and subprocessors’ data practices. Require formal restrictions, data-flow diagrams, and deletion attestations.</w:t>
      </w:r>
    </w:p>
    <w:p>
      <w:pPr>
        <w:pStyle w:val="Heading2"/>
      </w:pPr>
      <w:r>
        <w:t xml:space="preserve">2.4  Region Claims (AWS us-east-1)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explicit data residency, transfer, and cross-region processing disclosures.</w:t>
      </w:r>
    </w:p>
    <w:p>
      <w:pPr>
        <w:pStyle w:val="Heading2"/>
      </w:pPr>
      <w:r>
        <w:t xml:space="preserve">2.5  BAA Commitment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“We will sign a BAA” is not sufficient to authorize PHI transmission. Need an executed BAA with scope and flow-down terms.</w:t>
      </w:r>
    </w:p>
    <w:p>
      <w:pPr>
        <w:pStyle w:val="Heading2"/>
      </w:pPr>
      <w:r>
        <w:t xml:space="preserve">2.6  Penetration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2023 test by internal team is outdated. Require latest independent test, scope, remediation evidence, and retest cadence.</w:t>
      </w:r>
    </w:p>
    <w:p>
      <w:pPr>
        <w:pStyle w:val="Heading2"/>
      </w:pPr>
      <w:r>
        <w:t xml:space="preserve">2.7  Logging &amp; Retention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90-day logging of inputs/outputs poses PHI-retention risk. Require logging inventory, redaction, access controls, deletion/retention policies, and legal-hold mechanisms.</w:t>
      </w:r>
    </w:p>
    <w:p>
      <w:pPr>
        <w:pStyle w:val="Heading2"/>
      </w:pPr>
      <w:r>
        <w:t xml:space="preserve">2.8  Incident Response &amp; SLA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stated security incident, breach, or SLA details. Require incident-response plan, 24/7 contacts, breach-notification timelines, and RTO/RPO.</w:t>
      </w:r>
    </w:p>
    <w:p>
      <w:pPr>
        <w:pStyle w:val="Heading2"/>
      </w:pPr>
      <w:r>
        <w:t xml:space="preserve">2.9  Identity &amp; Privileged Access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details provided. Require identity controls, MFA, JIT/PAM, and review processes.</w:t>
      </w:r>
    </w:p>
    <w:p>
      <w:pPr>
        <w:pStyle w:val="Heading2"/>
      </w:pPr>
      <w:r>
        <w:t xml:space="preserve">2.10  Data Ownership, Portability &amp; Deletion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terms stated. Require clear ownership, deletion certificates, and data-retention controls.</w:t>
      </w:r>
    </w:p>
    <w:p>
      <w:pPr>
        <w:pStyle w:val="Heading2"/>
      </w:pPr>
      <w:r>
        <w:t xml:space="preserve">2.11  Business Continuity &amp; Operational Evidence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BCP/DR, capacity, escrow/exit plan, or insurance evidence provided. These must be requested.</w:t>
      </w:r>
    </w:p>
    <w:p>
      <w:pPr>
        <w:pStyle w:val="Heading1"/>
      </w:pPr>
      <w:r>
        <w:t xml:space="preserve">3. Required Follow-up Questions to Vendor (Highlights)</w:t>
      </w:r>
    </w:p>
    <w:p>
      <w:pPr>
        <w:pStyle w:val="ListParagraph"/>
        <w:numPr>
          <w:ilvl w:val="0"/>
          <w:numId w:val="2"/>
        </w:numPr>
      </w:pPr>
      <w:r>
        <w:t xml:space="preserve">Provide complete SOC 2 Type II report with scope and controls, including model-serving and logging for Harmoni data.</w:t>
      </w:r>
    </w:p>
    <w:p>
      <w:pPr>
        <w:pStyle w:val="ListParagraph"/>
        <w:numPr>
          <w:ilvl w:val="0"/>
          <w:numId w:val="2"/>
        </w:numPr>
      </w:pPr>
      <w:r>
        <w:t xml:space="preserve">Identify all entities handling Harmoni data; list subprocessors, locations, and onboarding/notice processes.</w:t>
      </w:r>
    </w:p>
    <w:p>
      <w:pPr>
        <w:pStyle w:val="ListParagraph"/>
        <w:numPr>
          <w:ilvl w:val="0"/>
          <w:numId w:val="2"/>
        </w:numPr>
      </w:pPr>
      <w:r>
        <w:t xml:space="preserve">Confirm execution of BAA prior to PHI transmission; confirm equivalent BAAs for subcontractors.</w:t>
      </w:r>
    </w:p>
    <w:p>
      <w:pPr>
        <w:pStyle w:val="ListParagraph"/>
        <w:numPr>
          <w:ilvl w:val="0"/>
          <w:numId w:val="2"/>
        </w:numPr>
      </w:pPr>
      <w:r>
        <w:t xml:space="preserve">Contractual prohibition on training / data use for product improvement unless expressly authorized; include data-flow and subprocessors.</w:t>
      </w:r>
    </w:p>
    <w:p>
      <w:pPr>
        <w:pStyle w:val="ListParagraph"/>
        <w:numPr>
          <w:ilvl w:val="0"/>
          <w:numId w:val="2"/>
        </w:numPr>
      </w:pPr>
      <w:r>
        <w:t xml:space="preserve">Specify fields logged; enable/disable logging modes; procedures for redaction of PHI/secrets; access controls and retention.</w:t>
      </w:r>
    </w:p>
    <w:p>
      <w:pPr>
        <w:pStyle w:val="ListParagraph"/>
        <w:numPr>
          <w:ilvl w:val="0"/>
          <w:numId w:val="2"/>
        </w:numPr>
      </w:pPr>
      <w:r>
        <w:t xml:space="preserve">Define retention/deletion periods for live data, caches, logs, backups; provide deletion certificates.</w:t>
      </w:r>
    </w:p>
    <w:p>
      <w:pPr>
        <w:pStyle w:val="ListParagraph"/>
        <w:numPr>
          <w:ilvl w:val="0"/>
          <w:numId w:val="2"/>
        </w:numPr>
      </w:pPr>
      <w:r>
        <w:t xml:space="preserve">Describe tenant isolation, encryption boundaries, key custody, rotation, TLS config, vulnerability management, secure SDLC, and malware protection.</w:t>
      </w:r>
    </w:p>
    <w:p>
      <w:pPr>
        <w:pStyle w:val="ListParagraph"/>
        <w:numPr>
          <w:ilvl w:val="0"/>
          <w:numId w:val="2"/>
        </w:numPr>
      </w:pPr>
      <w:r>
        <w:t xml:space="preserve">Provide latest independent penetration test report; remediation evidence; cloud config assessment; LLM-specific red-team results.</w:t>
      </w:r>
    </w:p>
    <w:p>
      <w:pPr>
        <w:pStyle w:val="ListParagraph"/>
        <w:numPr>
          <w:ilvl w:val="0"/>
          <w:numId w:val="2"/>
        </w:numPr>
      </w:pPr>
      <w:r>
        <w:t xml:space="preserve">Explain model-version governance, fine-tuning data handling, prompts, safety policies, and rollback processes.</w:t>
      </w:r>
    </w:p>
    <w:p>
      <w:pPr>
        <w:pStyle w:val="ListParagraph"/>
        <w:numPr>
          <w:ilvl w:val="0"/>
          <w:numId w:val="2"/>
        </w:numPr>
      </w:pPr>
      <w:r>
        <w:t xml:space="preserve">Detail controls against prompt injection, data leakage, and unsafe outputs; mitigation measures and monitoring.</w:t>
      </w:r>
    </w:p>
    <w:p>
      <w:pPr>
        <w:pStyle w:val="ListParagraph"/>
        <w:numPr>
          <w:ilvl w:val="0"/>
          <w:numId w:val="2"/>
        </w:numPr>
      </w:pPr>
      <w:r>
        <w:t xml:space="preserve">Outline authentication for users/operators; MFA enforcement; privileged-session controls and logging.</w:t>
      </w:r>
    </w:p>
    <w:p>
      <w:pPr>
        <w:pStyle w:val="ListParagraph"/>
        <w:numPr>
          <w:ilvl w:val="0"/>
          <w:numId w:val="2"/>
        </w:numPr>
      </w:pPr>
      <w:r>
        <w:t xml:space="preserve">Define incident criteria and 24-hour notification requirement; forensic cooperation; HIPAA risk-assessment support.</w:t>
      </w:r>
    </w:p>
    <w:p>
      <w:pPr>
        <w:pStyle w:val="ListParagraph"/>
        <w:numPr>
          <w:ilvl w:val="0"/>
          <w:numId w:val="2"/>
        </w:numPr>
      </w:pPr>
      <w:r>
        <w:t xml:space="preserve">Provide availability history, SLA metrics, RTO/RPO, backup tests, capacity limits, and an exit plan.</w:t>
      </w:r>
    </w:p>
    <w:p>
      <w:pPr>
        <w:pStyle w:val="ListParagraph"/>
        <w:numPr>
          <w:ilvl w:val="0"/>
          <w:numId w:val="2"/>
        </w:numPr>
      </w:pPr>
      <w:r>
        <w:t xml:space="preserve">Confirm processing/support locations, including AWS/control planes; ability to restrict processing to a region.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Confirm product is not represented as a diagnostic device or clinical decision-maker without regulatory basis; outline human-review / notification controls for unsafe outputs.</w:t>
      </w:r>
    </w:p>
    <w:p>
      <w:pPr>
        <w:pStyle w:val="Heading1"/>
      </w:pPr>
      <w:r>
        <w:t xml:space="preserve">4. Handling the Already-Built Integration</w:t>
      </w:r>
    </w:p>
    <w:p>
      <w:pPr>
        <w:spacing w:after="80"/>
      </w:pPr>
      <w:r>
        <w:rPr>
          <w:b/>
          <w:bCs/>
        </w:rPr>
        <w:t xml:space="preserve">Do not grant security approval through this integration alone.</w:t>
      </w:r>
    </w:p>
    <w:p>
      <w:pPr>
        <w:pStyle w:val="ListParagraph"/>
        <w:numPr>
          <w:ilvl w:val="0"/>
          <w:numId w:val="2"/>
        </w:numPr>
      </w:pPr>
      <w:r>
        <w:t xml:space="preserve">Immediately freeze PHI in production and preserve all related artifacts (code, dependencies, credentials, CI logs, vendor communications).</w:t>
      </w:r>
    </w:p>
    <w:p>
      <w:pPr>
        <w:pStyle w:val="ListParagraph"/>
        <w:numPr>
          <w:ilvl w:val="0"/>
          <w:numId w:val="2"/>
        </w:numPr>
      </w:pPr>
      <w:r>
        <w:t xml:space="preserve">Initiate a rapid containment review: inventory endpoints / keys / logs, revoke exposed credentials, verify content logging, and require vendor deletion / retention evidence.</w:t>
      </w:r>
    </w:p>
    <w:p>
      <w:pPr>
        <w:pStyle w:val="ListParagraph"/>
        <w:numPr>
          <w:ilvl w:val="0"/>
          <w:numId w:val="2"/>
        </w:numPr>
      </w:pPr>
      <w:r>
        <w:t xml:space="preserve">Implement defensive measures: review infrastructure-as-code, require peer review / secret scanning, add a kill switch, egress allow-list, rate limits, and immutable audit logs; use synthetic / de-identified data for testing.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Approval gate framework proposed:</w:t>
      </w:r>
    </w:p>
    <w:p>
      <w:pPr>
        <w:pStyle w:val="ListParagraph"/>
        <w:numPr>
          <w:ilvl w:val="0"/>
          <w:numId w:val="3"/>
        </w:numPr>
      </w:pPr>
      <w:r>
        <w:t xml:space="preserve">Data-flow / minimum-necessary assessment</w:t>
      </w:r>
    </w:p>
    <w:p>
      <w:pPr>
        <w:pStyle w:val="ListParagraph"/>
        <w:numPr>
          <w:ilvl w:val="0"/>
          <w:numId w:val="3"/>
        </w:numPr>
      </w:pPr>
      <w:r>
        <w:t xml:space="preserve">Legal review of BAA / privacy / IP / exit terms</w:t>
      </w:r>
    </w:p>
    <w:p>
      <w:pPr>
        <w:pStyle w:val="ListParagraph"/>
        <w:numPr>
          <w:ilvl w:val="0"/>
          <w:numId w:val="3"/>
        </w:numPr>
      </w:pPr>
      <w:r>
        <w:t xml:space="preserve">Evidence review</w:t>
      </w:r>
    </w:p>
    <w:p>
      <w:pPr>
        <w:pStyle w:val="ListParagraph"/>
        <w:numPr>
          <w:ilvl w:val="0"/>
          <w:numId w:val="3"/>
        </w:numPr>
      </w:pPr>
      <w:r>
        <w:t xml:space="preserve">Threat modeling and red-team results</w:t>
      </w:r>
    </w:p>
    <w:p>
      <w:pPr>
        <w:pStyle w:val="ListParagraph"/>
        <w:numPr>
          <w:ilvl w:val="0"/>
          <w:numId w:val="3"/>
        </w:numPr>
      </w:pPr>
      <w:r>
        <w:t xml:space="preserve">Security / product-owner sign-off</w:t>
      </w:r>
    </w:p>
    <w:p>
      <w:pPr>
        <w:pStyle w:val="ListParagraph"/>
        <w:numPr>
          <w:ilvl w:val="0"/>
          <w:numId w:val="3"/>
        </w:numPr>
      </w:pPr>
      <w:r>
        <w:t xml:space="preserve">Limited pilot with monitoring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Final change-management approval. Record any missing evidence as exceptions with owner, expiry, compensating controls, and risk acceptance.</w:t>
      </w:r>
    </w:p>
    <w:p>
      <w:pPr>
        <w:pStyle w:val="Heading1"/>
      </w:pPr>
      <w:r>
        <w:t xml:space="preserve">5. Part B — RBAC Redesign (High-Level)</w:t>
      </w:r>
    </w:p>
    <w:p>
      <w:pPr>
        <w:spacing w:after="120"/>
      </w:pPr>
      <w:r>
        <w:t xml:space="preserve">Move from universal admin access to centralized SSO with MFA, group-based assignments, and automated lifecycle (joiner / mover / leaver). Implement least-privilege roles (T0–T4 tiers) with data classifications (T2 for client PHI / student records). Use cross-platform recommendations for Google Workspace, GCP, Azure, and GitHub to enforce restricted access, JIT elevation, and separation of duties.</w:t>
      </w:r>
    </w:p>
    <w:p>
      <w:pPr>
        <w:pStyle w:val="Heading2"/>
      </w:pPr>
      <w:r>
        <w:t xml:space="preserve">5.1  Key Governance and Lifecycle Notes</w:t>
      </w:r>
    </w:p>
    <w:p>
      <w:pPr>
        <w:pStyle w:val="ListParagraph"/>
        <w:numPr>
          <w:ilvl w:val="0"/>
          <w:numId w:val="2"/>
        </w:numPr>
      </w:pPr>
      <w:r>
        <w:t xml:space="preserve">Require role-based access boundaries and strict separation of duties across identity, data access, and security controls.</w:t>
      </w:r>
    </w:p>
    <w:p>
      <w:pPr>
        <w:pStyle w:val="ListParagraph"/>
        <w:numPr>
          <w:ilvl w:val="0"/>
          <w:numId w:val="2"/>
        </w:numPr>
      </w:pPr>
      <w:r>
        <w:t xml:space="preserve">Document ownership and justification for every access grant.</w:t>
      </w:r>
    </w:p>
    <w:p>
      <w:pPr>
        <w:pStyle w:val="ListParagraph"/>
        <w:numPr>
          <w:ilvl w:val="0"/>
          <w:numId w:val="2"/>
        </w:numPr>
      </w:pPr>
      <w:r>
        <w:t xml:space="preserve">Enforce quarterly reviews (T2) and monthly reviews for higher-risk roles (T3/T4).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Automated termination of stale credentials.</w:t>
      </w:r>
    </w:p>
    <w:p>
      <w:pPr>
        <w:pStyle w:val="Heading1"/>
      </w:pPr>
      <w:r>
        <w:t xml:space="preserve">6. Sources Cited</w:t>
      </w:r>
    </w:p>
    <w:p>
      <w:pPr>
        <w:pStyle w:val="ListParagraph"/>
        <w:numPr>
          <w:ilvl w:val="0"/>
          <w:numId w:val="2"/>
        </w:numPr>
      </w:pPr>
      <w:r>
        <w:t xml:space="preserve">HIPAA business associate guidance (HHS)</w:t>
      </w:r>
    </w:p>
    <w:p>
      <w:pPr>
        <w:pStyle w:val="ListParagraph"/>
        <w:numPr>
          <w:ilvl w:val="0"/>
          <w:numId w:val="2"/>
        </w:numPr>
      </w:pPr>
      <w:r>
        <w:t xml:space="preserve">HIPAA cloud computing guidance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FERPA considerations</w:t>
      </w:r>
    </w:p>
    <w:p>
      <w:pPr>
        <w:pStyle w:val="Heading1"/>
      </w:pPr>
      <w:r>
        <w:t xml:space="preserve">7. Notes</w:t>
      </w:r>
    </w:p>
    <w:p>
      <w:pPr>
        <w:pStyle w:val="ListParagraph"/>
        <w:numPr>
          <w:ilvl w:val="0"/>
          <w:numId w:val="2"/>
        </w:numPr>
      </w:pPr>
      <w:r>
        <w:t xml:space="preserve">This summary preserves the exact terms, red flags, required evidence, follow-up questions, and governance recommendations as stated in the structured result.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new inferences or approval recommendations have been added beyond the provided content.</w:t>
      </w:r>
    </w:p>
    <w:p>
      <w:pPr>
        <w:pBdr>
          <w:top w:val="single" w:color="CCCCCC" w:sz="6" w:space="12"/>
        </w:pBdr>
        <w:spacing w:before="300"/>
      </w:pPr>
      <w:r>
        <w:rPr>
          <w:b/>
          <w:bCs/>
          <w:color w:val="666666"/>
          <w:sz w:val="18"/>
          <w:szCs w:val="18"/>
        </w:rPr>
        <w:t xml:space="preserve">Document Context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Module 4 Task: Third-party assessment, access control design, and IT governance. Part A evaluates a prospective medical LLM vendor for Harmoni (PHI context). Part B redesigns Ajaia’s access model from universal admin privileges to a least-privilege RBAC model with SSO, MFA, and lifecycle controls across Google Workspace, GCP, Azure, and GitHub.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Ajaia AI Consultancy  |  Module 4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2026-10-26T06:00:58.270Z</dcterms:created>
  <dcterms:modified xsi:type="dcterms:W3CDTF">2026-10-26T06:00:58.271Z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