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4E79"/>
          <w:sz w:val="40"/>
          <w:szCs w:val="40"/>
        </w:rPr>
        <w:t xml:space="preserve">Summary of Module 5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AI-Native Security &amp; Operations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AI risk management, AI-powered workflows, and shadow AI governance</w:t>
      </w:r>
    </w:p>
    <w:p>
      <w:pPr>
        <w:spacing w:after="400"/>
        <w:jc w:val="center"/>
      </w:pPr>
      <w:r>
        <w:rPr>
          <w:color w:val="444444"/>
          <w:sz w:val="18"/>
          <w:szCs w:val="18"/>
        </w:rPr>
        <w:t xml:space="preserve">Client: Ajaia AI Consultancy  |  Scope: Internal AI Use · PHI/Student Data Context · Shadow AI</w:t>
      </w:r>
    </w:p>
    <w:p>
      <w:pPr>
        <w:pStyle w:val="Heading1"/>
      </w:pPr>
      <w:r>
        <w:t xml:space="preserve">1. Core Stance</w:t>
      </w:r>
    </w:p>
    <w:p>
      <w:pPr>
        <w:spacing w:after="120"/>
      </w:pPr>
      <w:r>
        <w:t xml:space="preserve">Treat AI as a </w:t>
      </w:r>
      <w:r>
        <w:rPr>
          <w:b/>
          <w:bCs/>
        </w:rPr>
        <w:t xml:space="preserve">productivity layer within existing security and compliance systems</w:t>
      </w:r>
      <w:r>
        <w:t xml:space="preserve">, not an autonomous decision-maker.</w:t>
      </w:r>
    </w:p>
    <w:p>
      <w:pPr>
        <w:spacing w:after="80"/>
      </w:pPr>
      <w:r>
        <w:rPr>
          <w:b/>
          <w:bCs/>
        </w:rPr>
        <w:t xml:space="preserve">Requirements for AI use:</w:t>
      </w:r>
    </w:p>
    <w:p>
      <w:pPr>
        <w:pStyle w:val="ListParagraph"/>
        <w:numPr>
          <w:ilvl w:val="0"/>
          <w:numId w:val="2"/>
        </w:numPr>
      </w:pPr>
      <w:r>
        <w:t xml:space="preserve">Approved model and account</w:t>
      </w:r>
    </w:p>
    <w:p>
      <w:pPr>
        <w:pStyle w:val="ListParagraph"/>
        <w:numPr>
          <w:ilvl w:val="0"/>
          <w:numId w:val="2"/>
        </w:numPr>
      </w:pPr>
      <w:r>
        <w:t xml:space="preserve">Minimum necessary data</w:t>
      </w:r>
    </w:p>
    <w:p>
      <w:pPr>
        <w:pStyle w:val="ListParagraph"/>
        <w:numPr>
          <w:ilvl w:val="0"/>
          <w:numId w:val="2"/>
        </w:numPr>
      </w:pPr>
      <w:r>
        <w:t xml:space="preserve">Logged use</w:t>
      </w:r>
    </w:p>
    <w:p>
      <w:pPr>
        <w:pStyle w:val="ListParagraph"/>
        <w:numPr>
          <w:ilvl w:val="0"/>
          <w:numId w:val="2"/>
        </w:numPr>
      </w:pPr>
      <w:r>
        <w:t xml:space="preserve">Human validation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Clear owner for consequential actions</w:t>
      </w:r>
    </w:p>
    <w:p>
      <w:pPr>
        <w:spacing w:after="200"/>
      </w:pPr>
      <w:r>
        <w:t xml:space="preserve">Users remain responsible for testing the security and effectiveness of generated code.</w:t>
      </w:r>
    </w:p>
    <w:p>
      <w:pPr>
        <w:pStyle w:val="Heading1"/>
      </w:pPr>
      <w:r>
        <w:t xml:space="preserve">2. Part A — Three AI-Native Security Workflows</w:t>
      </w:r>
    </w:p>
    <w:p>
      <w:pPr>
        <w:pStyle w:val="Heading2"/>
      </w:pPr>
      <w:r>
        <w:t xml:space="preserve">2.1  Alert Triage and Investigation Briefing</w:t>
      </w:r>
    </w:p>
    <w:p>
      <w:pPr>
        <w:spacing w:after="60"/>
      </w:pPr>
      <w:r>
        <w:rPr>
          <w:b/>
          <w:bCs/>
        </w:rPr>
        <w:t xml:space="preserve">Tools / Models: </w:t>
      </w:r>
      <w:r>
        <w:t xml:space="preserve">Google Workspace AI for summarization; Claude Pro for a controlled security workspace.</w:t>
      </w:r>
    </w:p>
    <w:p>
      <w:pPr>
        <w:spacing w:after="60"/>
      </w:pPr>
      <w:r>
        <w:rPr>
          <w:b/>
          <w:bCs/>
        </w:rPr>
        <w:t xml:space="preserve">Input: </w:t>
      </w:r>
      <w:r>
        <w:t xml:space="preserve">Bounded, redacted alert packet with identifiers, events, and evidence links; includes machine-generated event hash and case ID.</w:t>
      </w:r>
    </w:p>
    <w:p>
      <w:pPr>
        <w:spacing w:after="60"/>
      </w:pPr>
      <w:r>
        <w:rPr>
          <w:b/>
          <w:bCs/>
        </w:rPr>
        <w:t xml:space="preserve">Process: </w:t>
      </w:r>
      <w:r>
        <w:t xml:space="preserve">Deterministic normalization and masking; model groups events, forms hypotheses, notes evidence gaps; analyst validates against source logs; records accepted / rejected suggestions.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Concise incident brief (timeline, affected identities/assets, hypotheses with confidence, containment options, evidence gaps, next-60-minute actions). Model does </w:t>
      </w:r>
      <w:r>
        <w:rPr>
          <w:b/>
          <w:bCs/>
        </w:rPr>
        <w:t xml:space="preserve">not</w:t>
      </w:r>
      <w:r>
        <w:t xml:space="preserve"> close the incident or make formal breach / notice decisions.</w:t>
      </w:r>
    </w:p>
    <w:p>
      <w:pPr>
        <w:spacing w:after="60"/>
      </w:pPr>
      <w:r>
        <w:rPr>
          <w:b/>
          <w:bCs/>
        </w:rPr>
        <w:t xml:space="preserve">Trust boundary: </w:t>
      </w:r>
      <w:r>
        <w:t xml:space="preserve">Logs stay in controlled environment; model receives minimal redacted data; draft exits back to case system with checks for hallucinations; case retention policy governs prompts / outputs.</w:t>
      </w:r>
    </w:p>
    <w:p>
      <w:pPr>
        <w:spacing w:after="60"/>
      </w:pPr>
      <w:r>
        <w:rPr>
          <w:b/>
          <w:bCs/>
        </w:rPr>
        <w:t xml:space="preserve">Why not trusted: </w:t>
      </w:r>
      <w:r>
        <w:t xml:space="preserve">Potential hallucinations or misinference; cannot replace log integrity or legal / notification determinations.</w:t>
      </w:r>
    </w:p>
    <w:p>
      <w:pPr>
        <w:spacing w:after="160"/>
      </w:pPr>
      <w:r>
        <w:rPr>
          <w:b/>
          <w:bCs/>
        </w:rPr>
        <w:t xml:space="preserve">Estimated saving: </w:t>
      </w:r>
      <w:r>
        <w:t xml:space="preserve">~35–50 minutes per alert packet (timeline ~10, correlation ~15–25, drafting ~10–15). Human analysis remains decisive.</w:t>
      </w:r>
    </w:p>
    <w:p>
      <w:pPr>
        <w:pStyle w:val="Heading2"/>
      </w:pPr>
      <w:r>
        <w:t xml:space="preserve">2.2  Secure Code and Infrastructure Review</w:t>
      </w:r>
    </w:p>
    <w:p>
      <w:pPr>
        <w:spacing w:after="60"/>
      </w:pPr>
      <w:r>
        <w:rPr>
          <w:b/>
          <w:bCs/>
        </w:rPr>
        <w:t xml:space="preserve">Tools / Models: </w:t>
      </w:r>
      <w:r>
        <w:t xml:space="preserve">GitHub Copilot for Engineering (enterprise context); Claude Pro for redacted design-level explanations.</w:t>
      </w:r>
    </w:p>
    <w:p>
      <w:pPr>
        <w:spacing w:after="60"/>
      </w:pPr>
      <w:r>
        <w:rPr>
          <w:b/>
          <w:bCs/>
        </w:rPr>
        <w:t xml:space="preserve">Input: </w:t>
      </w:r>
      <w:r>
        <w:t xml:space="preserve">PR diff, test output, dependencies, infrastructure config, short threat model; sensitive data and secrets excluded; pre-commit secret scanning blocks obvious secrets.</w:t>
      </w:r>
    </w:p>
    <w:p>
      <w:pPr>
        <w:spacing w:after="60"/>
      </w:pPr>
      <w:r>
        <w:rPr>
          <w:b/>
          <w:bCs/>
        </w:rPr>
        <w:t xml:space="preserve">Process: </w:t>
      </w:r>
      <w:r>
        <w:t xml:space="preserve">Copilot suggests tests and code changes; developer runs SAST, dependency / IaC scans, and tests; security engineers review high-risk changes and compare findings with the threat model.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Code-review comments mapped to lines, additional tests, proposed patch, residual-risk note. No AI-generated change is merged without a named human author / reviewer.</w:t>
      </w:r>
    </w:p>
    <w:p>
      <w:pPr>
        <w:spacing w:after="60"/>
      </w:pPr>
      <w:r>
        <w:rPr>
          <w:b/>
          <w:bCs/>
        </w:rPr>
        <w:t xml:space="preserve">Trust boundary: </w:t>
      </w:r>
      <w:r>
        <w:t xml:space="preserve">Code moves from repo / IDE to Copilot service under enterprise terms; no personal-chat or private tools.</w:t>
      </w:r>
    </w:p>
    <w:p>
      <w:pPr>
        <w:spacing w:after="60"/>
      </w:pPr>
      <w:r>
        <w:rPr>
          <w:b/>
          <w:bCs/>
        </w:rPr>
        <w:t xml:space="preserve">Why not trusted: </w:t>
      </w:r>
      <w:r>
        <w:t xml:space="preserve">AI cannot prove patch security, business-authorization rules, license provenance, or client restrictions. Passing tests ≠ security proof.</w:t>
      </w:r>
    </w:p>
    <w:p>
      <w:pPr>
        <w:spacing w:after="160"/>
      </w:pPr>
      <w:r>
        <w:rPr>
          <w:b/>
          <w:bCs/>
        </w:rPr>
        <w:t xml:space="preserve">Estimated saving: </w:t>
      </w:r>
      <w:r>
        <w:t xml:space="preserve">~45–90 minutes per medium PR; higher-risk code reduces savings.</w:t>
      </w:r>
    </w:p>
    <w:p>
      <w:pPr>
        <w:pStyle w:val="Heading2"/>
      </w:pPr>
      <w:r>
        <w:t xml:space="preserve">2.3  Compliance Evidence Preparation and Control Testing</w:t>
      </w:r>
    </w:p>
    <w:p>
      <w:pPr>
        <w:spacing w:after="60"/>
      </w:pPr>
      <w:r>
        <w:rPr>
          <w:b/>
          <w:bCs/>
        </w:rPr>
        <w:t xml:space="preserve">Tools / Models: </w:t>
      </w:r>
      <w:r>
        <w:t xml:space="preserve">Google Workspace AI for themes; Claude Pro for gap-analysis with redacted evidence (AI is not the system of record).</w:t>
      </w:r>
    </w:p>
    <w:p>
      <w:pPr>
        <w:spacing w:after="60"/>
      </w:pPr>
      <w:r>
        <w:rPr>
          <w:b/>
          <w:bCs/>
        </w:rPr>
        <w:t xml:space="preserve">Input: </w:t>
      </w:r>
      <w:r>
        <w:t xml:space="preserve">Control statements, evidence index, policy excerpts, ticket metadata, training summaries, access results, and redacted cloud exports.</w:t>
      </w:r>
    </w:p>
    <w:p>
      <w:pPr>
        <w:spacing w:after="60"/>
      </w:pPr>
      <w:r>
        <w:rPr>
          <w:b/>
          <w:bCs/>
        </w:rPr>
        <w:t xml:space="preserve">Process: </w:t>
      </w:r>
      <w:r>
        <w:t xml:space="preserve">Model maps evidence to controls; flags gaps; drafts plain-language narrative; checks mappings against source artifacts; labels conclusions as supported / unsupported / testing; exceptions go to the control owner.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Evidence index, draft control narrative, exception list, remediation owner, audit-ready citations. Not a compliance certification or vendor legal conclusion.</w:t>
      </w:r>
    </w:p>
    <w:p>
      <w:pPr>
        <w:spacing w:after="60"/>
      </w:pPr>
      <w:r>
        <w:rPr>
          <w:b/>
          <w:bCs/>
        </w:rPr>
        <w:t xml:space="preserve">Trust boundary: </w:t>
      </w:r>
      <w:r>
        <w:t xml:space="preserve">Evidence remains in controlled GRC repository; only minimum redacted excerpts are sent to the model; drafts are marked “AI-assisted — human verified” until sign-off.</w:t>
      </w:r>
    </w:p>
    <w:p>
      <w:pPr>
        <w:spacing w:after="60"/>
      </w:pPr>
      <w:r>
        <w:rPr>
          <w:b/>
          <w:bCs/>
        </w:rPr>
        <w:t xml:space="preserve">Why not trusted: </w:t>
      </w:r>
      <w:r>
        <w:t xml:space="preserve">Potential mis-mapping, policy misinterpretation, or overstatement of regulatory scope; cannot assess contractual / BAA specifics.</w:t>
      </w:r>
    </w:p>
    <w:p>
      <w:pPr>
        <w:spacing w:after="200"/>
      </w:pPr>
      <w:r>
        <w:rPr>
          <w:b/>
          <w:bCs/>
        </w:rPr>
        <w:t xml:space="preserve">Estimated saving: </w:t>
      </w:r>
      <w:r>
        <w:t xml:space="preserve">~2–4 hours per control cycle; larger savings for recurring packages. Human sign-off remains mandatory.</w:t>
      </w:r>
    </w:p>
    <w:p>
      <w:pPr>
        <w:pStyle w:val="Heading1"/>
      </w:pPr>
      <w:r>
        <w:t xml:space="preserve">3. Part B — AI Risk Register (High-Level)</w:t>
      </w:r>
    </w:p>
    <w:p>
      <w:pPr>
        <w:pStyle w:val="Heading2"/>
      </w:pPr>
      <w:r>
        <w:t xml:space="preserve">3.1  Sensitive Data Disclosure via Consumer AI  (H)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Stop the practice; rotate secrets; notify client / compliance; use only approved enterprise / API configurations with DLP and retention controls.</w:t>
      </w:r>
    </w:p>
    <w:p>
      <w:pPr>
        <w:pStyle w:val="Heading2"/>
      </w:pPr>
      <w:r>
        <w:t xml:space="preserve">3.2  Prompt Injection / Indirect Instruction  (H)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Treat retrieved content as data; isolate tools / credentials; enforce allowlisted actions and human approval for external actions.</w:t>
      </w:r>
    </w:p>
    <w:p>
      <w:pPr>
        <w:pStyle w:val="Heading2"/>
      </w:pPr>
      <w:r>
        <w:t xml:space="preserve">3.3  Hallucinations / Unsafe Advice  (H)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Require source-linked evidence, uncertainty labels, deterministic scanners, and two-person review for high-impact actions. Never rely on AI alone for breach, legal, or production decisions.</w:t>
      </w:r>
    </w:p>
    <w:p>
      <w:pPr>
        <w:pStyle w:val="Heading2"/>
      </w:pPr>
      <w:r>
        <w:t xml:space="preserve">3.4  Training / Retention Mismatch  (M/H)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Maintain a model / vendor register; reassess on plan or term changes; follow vendor guidance on data handling and stateful features.</w:t>
      </w:r>
    </w:p>
    <w:p>
      <w:pPr>
        <w:pStyle w:val="Heading2"/>
      </w:pPr>
      <w:r>
        <w:t xml:space="preserve">3.5  Unauthorized / Shadow Usage and Spend  (H)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Centralize procurement; monitor extensions, API keys, and domains; conduct monthly spend reviews; provide safe approved alternatives.</w:t>
      </w:r>
    </w:p>
    <w:p>
      <w:pPr>
        <w:pStyle w:val="Heading2"/>
      </w:pPr>
      <w:r>
        <w:t xml:space="preserve">3.6  Supply-Chain Risks  (M/H)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Require SAST, license and provenance checks, reproducible builds, model / evaluation results, and red-team tests; human review before deployment.</w:t>
      </w:r>
    </w:p>
    <w:p>
      <w:pPr>
        <w:pStyle w:val="Heading2"/>
      </w:pPr>
      <w:r>
        <w:t xml:space="preserve">3.7  Over-Collection / Re-Identification  (M/H)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Apply minimization / tokenization, k-anonymity / aggregation; data-owner decision required. HIPAA: BAA considerations noted.</w:t>
      </w:r>
    </w:p>
    <w:p>
      <w:pPr>
        <w:pStyle w:val="Heading2"/>
      </w:pPr>
      <w:r>
        <w:t xml:space="preserve">3.8  Automation Bias and Accountability Gaps  (M/H)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Assign a human decision owner; document model / prompt / output; require approval gates; audit AI-assisted actions quarterly.</w:t>
      </w:r>
    </w:p>
    <w:p>
      <w:pPr>
        <w:pStyle w:val="Heading1"/>
      </w:pPr>
      <w:r>
        <w:t xml:space="preserve">4. Part C — AI Tool Governance Framework</w:t>
      </w:r>
    </w:p>
    <w:p>
      <w:pPr>
        <w:spacing w:after="80"/>
      </w:pPr>
      <w:r>
        <w:rPr>
          <w:b/>
          <w:bCs/>
        </w:rPr>
        <w:t xml:space="preserve">Approval and Ownership</w:t>
      </w:r>
    </w:p>
    <w:p>
      <w:pPr>
        <w:pStyle w:val="ListParagraph"/>
        <w:numPr>
          <w:ilvl w:val="0"/>
          <w:numId w:val="2"/>
        </w:numPr>
      </w:pPr>
      <w:r>
        <w:t xml:space="preserve">Establish an AI Review Board (Security, IT, Engineering, Privacy / Compliance, Legal, Procurement, Data Owner).</w:t>
      </w:r>
    </w:p>
    <w:p>
      <w:pPr>
        <w:pStyle w:val="ListParagraph"/>
        <w:numPr>
          <w:ilvl w:val="0"/>
          <w:numId w:val="2"/>
        </w:numPr>
      </w:pPr>
      <w:r>
        <w:t xml:space="preserve">Maintain a single inventory of tools / models / accounts / integrations / data classes / owners / expiration.</w:t>
      </w:r>
    </w:p>
    <w:p>
      <w:pPr>
        <w:pStyle w:val="ListParagraph"/>
        <w:numPr>
          <w:ilvl w:val="0"/>
          <w:numId w:val="2"/>
        </w:numPr>
      </w:pPr>
      <w:r>
        <w:t xml:space="preserve">Every request must specify purpose, users, model / provider, data types, region, retention, terms, subprocessors, controls, benefits, and rollback.</w:t>
      </w:r>
    </w:p>
    <w:p>
      <w:pPr>
        <w:pStyle w:val="ListParagraph"/>
        <w:numPr>
          <w:ilvl w:val="0"/>
          <w:numId w:val="2"/>
        </w:numPr>
      </w:pPr>
      <w:r>
        <w:t xml:space="preserve">Data owner approves any data-class crossing a vendor boundary.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BAAs / DPAs are necessary but not sufficient. Regulatory references cited (HIPAA, FERPA context).</w:t>
      </w:r>
    </w:p>
    <w:p>
      <w:pPr>
        <w:pStyle w:val="Heading1"/>
      </w:pPr>
      <w:r>
        <w:t xml:space="preserve">5. Notes</w:t>
      </w:r>
    </w:p>
    <w:p>
      <w:pPr>
        <w:pStyle w:val="ListParagraph"/>
        <w:numPr>
          <w:ilvl w:val="0"/>
          <w:numId w:val="2"/>
        </w:numPr>
      </w:pPr>
      <w:r>
        <w:t xml:space="preserve">This summary preserves the exact terms, workflow details, risk labels, mitigations, and governance elements as stated in the structured result.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new inferences or completeness claims have been added beyond the provided content.</w:t>
      </w:r>
    </w:p>
    <w:p>
      <w:pPr>
        <w:pBdr>
          <w:top w:val="single" w:color="CCCCCC" w:sz="6" w:space="12"/>
        </w:pBdr>
        <w:spacing w:before="300"/>
      </w:pPr>
      <w:r>
        <w:rPr>
          <w:b/>
          <w:bCs/>
          <w:color w:val="666666"/>
          <w:sz w:val="18"/>
          <w:szCs w:val="18"/>
        </w:rPr>
        <w:t xml:space="preserve">Document Context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Module 5 Task: AI risk management, AI-powered workflows, and shadow AI governance. Ajaia builds AI products, deploys AI internally, and uses third-party AI APIs with client data (including PHI and student records). Every team member is expected to use AI as a core part of their workflow. Tasks cover three concrete AI-native security workflows, an AI risk register (including shadow-AI scenarios), and a formal AI tool governance framework.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8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8"/>
      </w:pBdr>
    </w:pPr>
    <w:r>
      <w:rPr>
        <w:rFonts w:ascii="Arial" w:cs="Arial" w:eastAsia="Arial" w:hAnsi="Arial"/>
        <w:color w:val="666666"/>
        <w:sz w:val="18"/>
        <w:szCs w:val="18"/>
      </w:rPr>
      <w:t xml:space="preserve">Ajaia AI Consultancy  |  Module 5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jc w:val="center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2026-10-26T06:03:35.460Z</dcterms:created>
  <dcterms:modified xsi:type="dcterms:W3CDTF">2026-10-26T06:03:35.460Z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