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B993F9">
      <w:pPr>
        <w:jc w:val="center"/>
        <w:rPr>
          <w:rFonts w:hint="eastAsia" w:ascii="宋体" w:hAnsi="宋体" w:eastAsia="宋体" w:cs="Times New Roman"/>
          <w:b/>
          <w:sz w:val="28"/>
          <w:szCs w:val="21"/>
        </w:rPr>
      </w:pPr>
      <w:r>
        <w:rPr>
          <w:rFonts w:hint="eastAsia" w:ascii="宋体" w:hAnsi="宋体" w:eastAsia="宋体" w:cs="Times New Roman"/>
          <w:b/>
          <w:sz w:val="28"/>
          <w:szCs w:val="21"/>
        </w:rPr>
        <w:t>第13课 清朝前中期的鼎盛与危机</w:t>
      </w:r>
    </w:p>
    <w:p w14:paraId="667F24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firstLine="0" w:firstLineChars="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1．</w:t>
      </w:r>
      <w:r>
        <w:rPr>
          <w:rFonts w:hint="eastAsia" w:ascii="宋体" w:hAnsi="宋体" w:cs="宋体"/>
          <w:lang w:val="en-US" w:eastAsia="zh-CN"/>
        </w:rPr>
        <w:t>清朝时期</w:t>
      </w:r>
      <w:r>
        <w:rPr>
          <w:rFonts w:hint="eastAsia" w:ascii="宋体" w:hAnsi="宋体" w:eastAsia="宋体" w:cs="宋体"/>
        </w:rPr>
        <w:t>设有</w:t>
      </w:r>
      <w:r>
        <w:rPr>
          <w:rFonts w:hint="eastAsia" w:ascii="宋体" w:hAnsi="宋体" w:cs="宋体"/>
          <w:lang w:val="en-US" w:eastAsia="zh-CN"/>
        </w:rPr>
        <w:t>一个</w:t>
      </w:r>
      <w:r>
        <w:rPr>
          <w:rFonts w:hint="eastAsia" w:ascii="宋体" w:hAnsi="宋体" w:eastAsia="宋体" w:cs="宋体"/>
        </w:rPr>
        <w:t>处理军国大事的机构，里面的大臣只是传达抄写皇帝的旨意，不能把自己的意见夹杂进去。这一机构是</w:t>
      </w:r>
      <w:r>
        <w:rPr>
          <w:rFonts w:hint="eastAsia" w:ascii="宋体" w:hAnsi="宋体" w:eastAsia="宋体" w:cs="宋体"/>
          <w:color w:val="FFFFFF"/>
          <w:sz w:val="10"/>
          <w:szCs w:val="10"/>
        </w:rPr>
        <w:t>中历史教学园地版权所有</w:t>
      </w:r>
    </w:p>
    <w:p w14:paraId="06E31A51">
      <w:pPr>
        <w:spacing w:line="288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A．中书省          B．内阁          C．东厂           </w:t>
      </w:r>
      <w:r>
        <w:rPr>
          <w:rFonts w:hint="eastAsia" w:ascii="宋体" w:hAnsi="宋体" w:eastAsia="宋体" w:cs="宋体"/>
          <w:highlight w:val="yellow"/>
        </w:rPr>
        <w:t>D．军机处</w:t>
      </w:r>
    </w:p>
    <w:p w14:paraId="5A7B7B26">
      <w:pPr>
        <w:spacing w:line="288" w:lineRule="auto"/>
        <w:ind w:left="315" w:hanging="315" w:hangingChars="15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2．清朝皇帝继承明朝制度，继续加强皇权。以下清朝皇帝在位时期，在中央开始设立军机处的是</w:t>
      </w:r>
    </w:p>
    <w:p w14:paraId="6ACF5A93">
      <w:pPr>
        <w:spacing w:line="288" w:lineRule="auto"/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A．顺治帝          B．康熙帝        </w:t>
      </w:r>
      <w:r>
        <w:rPr>
          <w:rFonts w:hint="eastAsia" w:ascii="宋体" w:hAnsi="宋体" w:eastAsia="宋体" w:cs="宋体"/>
          <w:szCs w:val="21"/>
          <w:highlight w:val="yellow"/>
        </w:rPr>
        <w:t>C．雍正帝</w:t>
      </w:r>
      <w:r>
        <w:rPr>
          <w:rFonts w:hint="eastAsia" w:ascii="宋体" w:hAnsi="宋体" w:eastAsia="宋体" w:cs="宋体"/>
          <w:szCs w:val="21"/>
        </w:rPr>
        <w:t xml:space="preserve">         D．乾隆帝</w:t>
      </w:r>
    </w:p>
    <w:p w14:paraId="64E98992">
      <w:pPr>
        <w:spacing w:line="288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3．从图1到图3的变化反映出中国古代君主制发展的趋势是</w:t>
      </w:r>
    </w:p>
    <w:p w14:paraId="38B1B1A5">
      <w:pPr>
        <w:spacing w:line="288" w:lineRule="auto"/>
        <w:jc w:val="center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drawing>
          <wp:inline distT="0" distB="0" distL="0" distR="0">
            <wp:extent cx="3854450" cy="125603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2"/>
                    <a:stretch>
                      <a:fillRect/>
                    </a:stretch>
                  </pic:blipFill>
                  <pic:spPr>
                    <a:xfrm>
                      <a:off x="0" y="0"/>
                      <a:ext cx="3863559" cy="12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95CD">
      <w:pPr>
        <w:spacing w:line="288" w:lineRule="auto"/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A．君臣礼仪的规范                    B．君主专制的削弱</w:t>
      </w:r>
    </w:p>
    <w:p w14:paraId="04CDE984">
      <w:pPr>
        <w:spacing w:line="288" w:lineRule="auto"/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C．君臣关系的融治                    </w:t>
      </w:r>
      <w:r>
        <w:rPr>
          <w:rFonts w:hint="eastAsia" w:ascii="宋体" w:hAnsi="宋体" w:eastAsia="宋体" w:cs="宋体"/>
          <w:szCs w:val="21"/>
          <w:highlight w:val="yellow"/>
        </w:rPr>
        <w:t>D．君主专制的强化</w:t>
      </w:r>
    </w:p>
    <w:p w14:paraId="59F22AC7">
      <w:pPr>
        <w:widowControl/>
        <w:spacing w:line="288" w:lineRule="auto"/>
        <w:jc w:val="left"/>
        <w:rPr>
          <w:rFonts w:hint="eastAsia" w:ascii="宋体" w:hAnsi="宋体" w:eastAsia="宋体" w:cs="宋体"/>
          <w:kern w:val="0"/>
          <w:szCs w:val="21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3358515</wp:posOffset>
            </wp:positionH>
            <wp:positionV relativeFrom="paragraph">
              <wp:posOffset>1905</wp:posOffset>
            </wp:positionV>
            <wp:extent cx="1684020" cy="1447800"/>
            <wp:effectExtent l="0" t="0" r="7620" b="0"/>
            <wp:wrapTight wrapText="bothSides">
              <wp:wrapPolygon>
                <wp:start x="0" y="0"/>
                <wp:lineTo x="0" y="21373"/>
                <wp:lineTo x="21502" y="21373"/>
                <wp:lineTo x="21502" y="0"/>
                <wp:lineTo x="0" y="0"/>
              </wp:wrapPolygon>
            </wp:wrapTight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Cs w:val="21"/>
        </w:rPr>
        <w:t>4．与右图密切相关的历史事件是</w:t>
      </w:r>
    </w:p>
    <w:p w14:paraId="150BF2D9">
      <w:pPr>
        <w:widowControl/>
        <w:spacing w:line="288" w:lineRule="auto"/>
        <w:ind w:firstLine="420" w:firstLineChars="20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 xml:space="preserve">A．戚继光抗倭                         </w:t>
      </w:r>
    </w:p>
    <w:p w14:paraId="18E4D696">
      <w:pPr>
        <w:widowControl/>
        <w:spacing w:line="288" w:lineRule="auto"/>
        <w:ind w:firstLine="420" w:firstLineChars="20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B．郑成功收复台湾</w:t>
      </w:r>
    </w:p>
    <w:p w14:paraId="09D9AB93">
      <w:pPr>
        <w:widowControl/>
        <w:spacing w:line="288" w:lineRule="auto"/>
        <w:ind w:firstLine="420" w:firstLineChars="20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  <w:highlight w:val="yellow"/>
        </w:rPr>
        <w:t>C．雅克萨之战</w:t>
      </w:r>
      <w:r>
        <w:rPr>
          <w:rFonts w:hint="eastAsia" w:ascii="宋体" w:hAnsi="宋体" w:eastAsia="宋体" w:cs="宋体"/>
          <w:kern w:val="0"/>
          <w:szCs w:val="21"/>
        </w:rPr>
        <w:t xml:space="preserve">                         </w:t>
      </w:r>
    </w:p>
    <w:p w14:paraId="79017B72">
      <w:pPr>
        <w:widowControl/>
        <w:spacing w:line="288" w:lineRule="auto"/>
        <w:ind w:firstLine="420" w:firstLineChars="200"/>
        <w:jc w:val="left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D．左宗棠收复新疆</w:t>
      </w:r>
    </w:p>
    <w:p w14:paraId="138827D4">
      <w:pPr>
        <w:widowControl/>
        <w:spacing w:line="288" w:lineRule="auto"/>
        <w:ind w:firstLine="420" w:firstLineChars="200"/>
        <w:jc w:val="left"/>
        <w:rPr>
          <w:rFonts w:hint="eastAsia" w:ascii="宋体" w:hAnsi="宋体" w:eastAsia="宋体" w:cs="宋体"/>
          <w:kern w:val="0"/>
          <w:szCs w:val="21"/>
        </w:rPr>
      </w:pPr>
    </w:p>
    <w:p w14:paraId="68DCFF50">
      <w:pPr>
        <w:widowControl/>
        <w:spacing w:line="288" w:lineRule="auto"/>
        <w:ind w:firstLine="420" w:firstLineChars="200"/>
        <w:jc w:val="left"/>
        <w:rPr>
          <w:rFonts w:hint="eastAsia" w:ascii="宋体" w:hAnsi="宋体" w:eastAsia="宋体" w:cs="宋体"/>
          <w:kern w:val="0"/>
          <w:szCs w:val="21"/>
        </w:rPr>
      </w:pPr>
    </w:p>
    <w:p w14:paraId="134F2E56">
      <w:pPr>
        <w:spacing w:line="288" w:lineRule="auto"/>
        <w:ind w:left="283" w:hanging="283" w:hangingChars="135"/>
        <w:rPr>
          <w:rFonts w:hint="eastAsia"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5．</w:t>
      </w:r>
      <w:r>
        <w:rPr>
          <w:rFonts w:hint="eastAsia" w:ascii="宋体" w:hAnsi="宋体" w:eastAsia="宋体" w:cs="宋体"/>
          <w:szCs w:val="21"/>
        </w:rPr>
        <w:t>我国历代王朝十分重视对边疆地区的管辖，下列措施按出现的先后顺序排列，正确的是</w:t>
      </w:r>
    </w:p>
    <w:p w14:paraId="3A0CB6B3">
      <w:pPr>
        <w:spacing w:line="288" w:lineRule="auto"/>
        <w:ind w:firstLine="283" w:firstLineChars="135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①设宣政院        ②设西域都护  </w:t>
      </w:r>
    </w:p>
    <w:p w14:paraId="2B46C528">
      <w:pPr>
        <w:spacing w:line="288" w:lineRule="auto"/>
        <w:ind w:firstLine="283" w:firstLineChars="135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③设驻藏大臣      ④设台湾府</w:t>
      </w:r>
    </w:p>
    <w:p w14:paraId="6355E2DA">
      <w:pPr>
        <w:spacing w:line="288" w:lineRule="auto"/>
        <w:ind w:firstLine="420" w:firstLineChars="200"/>
        <w:rPr>
          <w:rFonts w:hint="eastAsia"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A．</w:t>
      </w:r>
      <w:r>
        <w:rPr>
          <w:rFonts w:hint="eastAsia" w:ascii="宋体" w:hAnsi="宋体" w:eastAsia="宋体" w:cs="宋体"/>
          <w:szCs w:val="21"/>
        </w:rPr>
        <w:t xml:space="preserve">①③②④      </w:t>
      </w:r>
      <w:r>
        <w:rPr>
          <w:rFonts w:hint="eastAsia" w:ascii="宋体" w:hAnsi="宋体" w:eastAsia="宋体" w:cs="宋体"/>
          <w:color w:val="000000"/>
          <w:szCs w:val="21"/>
        </w:rPr>
        <w:t>B．</w:t>
      </w:r>
      <w:r>
        <w:rPr>
          <w:rFonts w:hint="eastAsia" w:ascii="宋体" w:hAnsi="宋体" w:eastAsia="宋体" w:cs="宋体"/>
          <w:szCs w:val="21"/>
        </w:rPr>
        <w:t xml:space="preserve">①②③④         </w:t>
      </w:r>
      <w:r>
        <w:rPr>
          <w:rFonts w:hint="eastAsia" w:ascii="宋体" w:hAnsi="宋体" w:eastAsia="宋体" w:cs="宋体"/>
          <w:color w:val="000000"/>
          <w:szCs w:val="21"/>
        </w:rPr>
        <w:t>C．</w:t>
      </w:r>
      <w:r>
        <w:rPr>
          <w:rFonts w:hint="eastAsia" w:ascii="宋体" w:hAnsi="宋体" w:eastAsia="宋体" w:cs="宋体"/>
          <w:szCs w:val="21"/>
        </w:rPr>
        <w:t xml:space="preserve">④②①③         </w:t>
      </w:r>
      <w:r>
        <w:rPr>
          <w:rFonts w:hint="eastAsia" w:ascii="宋体" w:hAnsi="宋体" w:eastAsia="宋体" w:cs="宋体"/>
          <w:color w:val="000000"/>
          <w:szCs w:val="21"/>
          <w:highlight w:val="yellow"/>
        </w:rPr>
        <w:t>D．</w:t>
      </w:r>
      <w:r>
        <w:rPr>
          <w:rFonts w:hint="eastAsia" w:ascii="宋体" w:hAnsi="宋体" w:eastAsia="宋体" w:cs="宋体"/>
          <w:szCs w:val="21"/>
          <w:highlight w:val="yellow"/>
        </w:rPr>
        <w:t>②①④③</w:t>
      </w:r>
    </w:p>
    <w:p w14:paraId="5B9F9FC6">
      <w:pPr>
        <w:spacing w:line="288" w:lineRule="auto"/>
        <w:ind w:left="283" w:hanging="283" w:hangingChars="135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6．清朝翰林官徐骏在奏章里把“陛下”的“陛”字错写成“狴”。雍正帝因此将其革职，又派人查他的诗集，以诽谤朝廷的罪名将其治罪。这反映清朝前期</w:t>
      </w:r>
    </w:p>
    <w:p w14:paraId="6F2726B9">
      <w:pPr>
        <w:spacing w:line="288" w:lineRule="auto"/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  <w:highlight w:val="yellow"/>
        </w:rPr>
        <w:t>A．大兴文字狱</w:t>
      </w:r>
      <w:r>
        <w:rPr>
          <w:rFonts w:hint="eastAsia" w:ascii="宋体" w:hAnsi="宋体" w:eastAsia="宋体" w:cs="宋体"/>
          <w:szCs w:val="21"/>
        </w:rPr>
        <w:t xml:space="preserve">                        B．八股取士</w:t>
      </w:r>
    </w:p>
    <w:p w14:paraId="097EE222">
      <w:pPr>
        <w:spacing w:line="288" w:lineRule="auto"/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C．罢黜百家，独尊儒术                D．焚书坑儒</w:t>
      </w:r>
    </w:p>
    <w:p w14:paraId="5D793F42">
      <w:pPr>
        <w:spacing w:line="288" w:lineRule="auto"/>
        <w:ind w:left="315" w:hanging="315" w:hangingChars="15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7．</w:t>
      </w:r>
      <w:r>
        <w:rPr>
          <w:rFonts w:hint="eastAsia" w:ascii="宋体" w:hAnsi="宋体" w:eastAsia="宋体" w:cs="宋体"/>
        </w:rPr>
        <w:t>乾隆二十二年，清政府规定，凡外国商船只准在广州一地通商贸易。这反映出清政府实行的对外政策是</w:t>
      </w:r>
    </w:p>
    <w:p w14:paraId="359EE126">
      <w:pPr>
        <w:tabs>
          <w:tab w:val="left" w:pos="4253"/>
        </w:tabs>
        <w:spacing w:line="288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A．文字狱         </w:t>
      </w:r>
      <w:r>
        <w:rPr>
          <w:rFonts w:hint="eastAsia" w:ascii="宋体" w:hAnsi="宋体" w:eastAsia="宋体" w:cs="宋体"/>
          <w:highlight w:val="yellow"/>
        </w:rPr>
        <w:t>B．闭关锁国</w:t>
      </w:r>
      <w:r>
        <w:rPr>
          <w:rFonts w:hint="eastAsia" w:ascii="宋体" w:hAnsi="宋体" w:eastAsia="宋体" w:cs="宋体"/>
        </w:rPr>
        <w:t xml:space="preserve">        C．八股取士         D．不抵抗</w:t>
      </w:r>
    </w:p>
    <w:p w14:paraId="282C4773">
      <w:pPr>
        <w:spacing w:line="288" w:lineRule="auto"/>
        <w:ind w:left="315" w:hanging="315" w:hangingChars="15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8．清朝蓝鼎元的《论南洋事宜书》云：“南洋未禁之先，闽广家给户足……即禁之后，百货不通，民生自蹙（窘迫）。”该历史现象出现的主要原因是</w:t>
      </w:r>
    </w:p>
    <w:p w14:paraId="50AEF158">
      <w:pPr>
        <w:adjustRightInd w:val="0"/>
        <w:spacing w:line="288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A．戚继光闽广抗倭                    B．明朝强化了封建专制统治</w:t>
      </w:r>
    </w:p>
    <w:p w14:paraId="5B6C7179">
      <w:pPr>
        <w:spacing w:line="288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C．郑成功收复台湾                    </w:t>
      </w:r>
      <w:r>
        <w:rPr>
          <w:rFonts w:hint="eastAsia" w:ascii="宋体" w:hAnsi="宋体" w:eastAsia="宋体" w:cs="宋体"/>
          <w:highlight w:val="yellow"/>
        </w:rPr>
        <w:t>D．清政府实行闭关锁国政策</w:t>
      </w:r>
    </w:p>
    <w:p w14:paraId="7C618DB3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