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40"/>
      </w:pPr>
      <w:r>
        <w:rPr>
          <w:rFonts w:ascii="Calibri" w:hAnsi="Calibri"/>
          <w:b/>
          <w:i w:val="0"/>
          <w:color w:val="2E74B5"/>
          <w:sz w:val="20"/>
        </w:rPr>
        <w:t>DISCOVERY QUESTIONNAIRE</w:t>
      </w:r>
    </w:p>
    <w:p>
      <w:pPr>
        <w:keepNext/>
        <w:spacing w:before="0" w:after="100"/>
      </w:pPr>
      <w:r>
        <w:rPr>
          <w:rFonts w:ascii="Calibri" w:hAnsi="Calibri"/>
          <w:b/>
          <w:i w:val="0"/>
          <w:color w:val="17365D"/>
          <w:sz w:val="54"/>
        </w:rPr>
        <w:t>Chewy Vet Care Location Evaluation Discovery</w:t>
      </w:r>
    </w:p>
    <w:p>
      <w:pPr>
        <w:spacing w:after="280"/>
      </w:pPr>
      <w:r>
        <w:rPr>
          <w:rFonts w:ascii="Calibri" w:hAnsi="Calibri"/>
          <w:b w:val="0"/>
          <w:i w:val="0"/>
          <w:color w:val="666666"/>
          <w:sz w:val="25"/>
        </w:rPr>
        <w:t>Understanding the current workflow, measurable gaps, and fit of a transparent decision-support prototype</w:t>
      </w:r>
    </w:p>
    <w:tbl>
      <w:tblPr>
        <w:tblW w:type="dxa" w:w="9360"/>
        <w:jc w:val="left"/>
        <w:tblLayout w:type="fixed"/>
        <w:tblLook w:firstColumn="1" w:firstRow="1" w:lastColumn="0" w:lastRow="0" w:noHBand="0" w:noVBand="1" w:val="04A0"/>
        <w:tblInd w:w="120"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3120"/>
        <w:gridCol w:w="3120"/>
        <w:gridCol w:w="3120"/>
      </w:tblGrid>
      <w:tr>
        <w:tc>
          <w:tcPr>
            <w:tcW w:type="dxa" w:w="3120"/>
            <w:shd w:fill="F2F4F7"/>
            <w:tcMar>
              <w:top w:w="120" w:type="dxa"/>
              <w:start w:w="140" w:type="dxa"/>
              <w:bottom w:w="120" w:type="dxa"/>
              <w:end w:w="140" w:type="dxa"/>
            </w:tcMar>
            <w:vAlign w:val="center"/>
          </w:tcPr>
          <w:p>
            <w:pPr>
              <w:spacing w:after="60"/>
            </w:pPr>
            <w:r>
              <w:rPr>
                <w:rFonts w:ascii="Calibri" w:hAnsi="Calibri"/>
                <w:b/>
                <w:i w:val="0"/>
                <w:color w:val="2E74B5"/>
                <w:sz w:val="17"/>
              </w:rPr>
              <w:t>PREPARED FOR</w:t>
            </w:r>
          </w:p>
          <w:p>
            <w:pPr>
              <w:spacing w:after="0" w:line="252" w:lineRule="auto"/>
            </w:pPr>
            <w:r>
              <w:rPr>
                <w:rFonts w:ascii="Calibri" w:hAnsi="Calibri"/>
                <w:b w:val="0"/>
                <w:i w:val="0"/>
                <w:color w:val="1F1F1F"/>
                <w:sz w:val="19"/>
              </w:rPr>
              <w:t>Ralph Torres</w:t>
              <w:br/>
              <w:t>Associate Director, Real Estate Market Research</w:t>
            </w:r>
          </w:p>
        </w:tc>
        <w:tc>
          <w:tcPr>
            <w:tcW w:type="dxa" w:w="3120"/>
            <w:shd w:fill="F2F4F7"/>
            <w:tcMar>
              <w:top w:w="120" w:type="dxa"/>
              <w:start w:w="140" w:type="dxa"/>
              <w:bottom w:w="120" w:type="dxa"/>
              <w:end w:w="140" w:type="dxa"/>
            </w:tcMar>
            <w:vAlign w:val="center"/>
          </w:tcPr>
          <w:p>
            <w:pPr>
              <w:spacing w:after="60"/>
            </w:pPr>
            <w:r>
              <w:rPr>
                <w:rFonts w:ascii="Calibri" w:hAnsi="Calibri"/>
                <w:b/>
                <w:i w:val="0"/>
                <w:color w:val="2E74B5"/>
                <w:sz w:val="17"/>
              </w:rPr>
              <w:t>MEETING</w:t>
            </w:r>
          </w:p>
          <w:p>
            <w:pPr>
              <w:spacing w:after="0" w:line="252" w:lineRule="auto"/>
            </w:pPr>
            <w:r>
              <w:rPr>
                <w:rFonts w:ascii="Calibri" w:hAnsi="Calibri"/>
                <w:b w:val="0"/>
                <w:i w:val="0"/>
                <w:color w:val="1F1F1F"/>
                <w:sz w:val="19"/>
              </w:rPr>
              <w:t>July 29, 2026</w:t>
              <w:br/>
              <w:t>12:30 to 1:00 PM PT</w:t>
            </w:r>
          </w:p>
        </w:tc>
        <w:tc>
          <w:tcPr>
            <w:tcW w:type="dxa" w:w="3120"/>
            <w:shd w:fill="F2F4F7"/>
            <w:tcMar>
              <w:top w:w="120" w:type="dxa"/>
              <w:start w:w="140" w:type="dxa"/>
              <w:bottom w:w="120" w:type="dxa"/>
              <w:end w:w="140" w:type="dxa"/>
            </w:tcMar>
            <w:vAlign w:val="center"/>
          </w:tcPr>
          <w:p>
            <w:pPr>
              <w:spacing w:after="60"/>
            </w:pPr>
            <w:r>
              <w:rPr>
                <w:rFonts w:ascii="Calibri" w:hAnsi="Calibri"/>
                <w:b/>
                <w:i w:val="0"/>
                <w:color w:val="2E74B5"/>
                <w:sz w:val="17"/>
              </w:rPr>
              <w:t>OBJECTIVE</w:t>
            </w:r>
          </w:p>
          <w:p>
            <w:pPr>
              <w:spacing w:after="0" w:line="252" w:lineRule="auto"/>
            </w:pPr>
            <w:r>
              <w:rPr>
                <w:rFonts w:ascii="Calibri" w:hAnsi="Calibri"/>
                <w:b w:val="0"/>
                <w:i w:val="0"/>
                <w:color w:val="1F1F1F"/>
                <w:sz w:val="19"/>
              </w:rPr>
              <w:t>Validate the process gap</w:t>
              <w:br/>
              <w:t>Identify a realistic next step</w:t>
            </w:r>
          </w:p>
        </w:tc>
      </w:tr>
    </w:tbl>
    <w:p>
      <w:pPr>
        <w:keepLines w:val="0"/>
        <w:spacing w:before="0" w:after="80" w:line="264" w:lineRule="auto"/>
      </w:pPr>
      <w:r>
        <w:rPr>
          <w:rFonts w:ascii="Calibri" w:hAnsi="Calibri"/>
          <w:b w:val="0"/>
          <w:i w:val="0"/>
          <w:color w:val="1F1F1F"/>
          <w:sz w:val="22"/>
        </w:rPr>
      </w:r>
    </w:p>
    <w:p>
      <w:pPr>
        <w:pStyle w:val="Heading1"/>
      </w:pPr>
      <w:r>
        <w:rPr>
          <w:rFonts w:ascii="Calibri" w:hAnsi="Calibri"/>
          <w:b/>
          <w:i w:val="0"/>
          <w:color w:val="2E74B5"/>
          <w:sz w:val="32"/>
        </w:rPr>
        <w:t>Purpose</w:t>
      </w:r>
    </w:p>
    <w:p>
      <w:pPr>
        <w:keepLines w:val="0"/>
        <w:spacing w:before="0" w:after="120" w:line="264" w:lineRule="auto"/>
      </w:pPr>
      <w:r>
        <w:rPr>
          <w:rFonts w:ascii="Calibri" w:hAnsi="Calibri"/>
          <w:b w:val="0"/>
          <w:i w:val="0"/>
          <w:color w:val="1F1F1F"/>
          <w:sz w:val="22"/>
        </w:rPr>
        <w:t>Thank you for taking the time to meet with us. These questions are intended to help us understand the current location-evaluation workflow before we make assumptions about the problem or solution. Brief answers, approximate figures, links, or a response of "not tracked" are all useful.</w:t>
      </w:r>
    </w:p>
    <w:p>
      <w:pPr>
        <w:pStyle w:val="Heading1"/>
      </w:pPr>
      <w:r>
        <w:rPr>
          <w:rFonts w:ascii="Calibri" w:hAnsi="Calibri"/>
          <w:b/>
          <w:i w:val="0"/>
          <w:color w:val="2E74B5"/>
          <w:sz w:val="32"/>
        </w:rPr>
        <w:t>Project overview</w:t>
      </w:r>
    </w:p>
    <w:p>
      <w:pPr>
        <w:keepLines w:val="0"/>
        <w:spacing w:before="0" w:after="120" w:line="264" w:lineRule="auto"/>
      </w:pPr>
      <w:r>
        <w:rPr>
          <w:rFonts w:ascii="Calibri" w:hAnsi="Calibri"/>
          <w:b w:val="0"/>
          <w:i w:val="0"/>
          <w:color w:val="1F1F1F"/>
          <w:sz w:val="22"/>
        </w:rPr>
        <w:t>We are developing a clinic-first decision-support prototype for comparing candidate Chewy Vet Care locations. The prototype is designed to assemble approved evidence, validate missing or conflicting inputs, compare candidates using business-approved criteria, and preserve the sources and reasoning behind each evaluation.</w:t>
      </w:r>
    </w:p>
    <w:p>
      <w:pPr>
        <w:keepLines w:val="0"/>
        <w:spacing w:before="0" w:after="120" w:line="264" w:lineRule="auto"/>
      </w:pPr>
      <w:r>
        <w:rPr>
          <w:rFonts w:ascii="Calibri" w:hAnsi="Calibri"/>
          <w:b w:val="0"/>
          <w:i w:val="0"/>
          <w:color w:val="1F1F1F"/>
          <w:sz w:val="22"/>
        </w:rPr>
        <w:t>The prototype does not make the final real-estate decision. Business owners retain control of criteria, thresholds, weights, overrides, and final decisions. AI may eventually summarize approved evidence or draft diligence questions, but it would not invent data, alter weights, or autonomously approve a location.</w:t>
      </w:r>
    </w:p>
    <w:p>
      <w:pPr>
        <w:pStyle w:val="Heading1"/>
      </w:pPr>
      <w:r>
        <w:rPr>
          <w:rFonts w:ascii="Calibri" w:hAnsi="Calibri"/>
          <w:b/>
          <w:i w:val="0"/>
          <w:color w:val="2E74B5"/>
          <w:sz w:val="32"/>
        </w:rPr>
        <w:t>Working hypothesis to validate</w:t>
      </w:r>
    </w:p>
    <w:tbl>
      <w:tblPr>
        <w:tblW w:type="dxa" w:w="9360"/>
        <w:jc w:val="left"/>
        <w:tblLayout w:type="fixed"/>
        <w:tblLook w:firstColumn="1" w:firstRow="1" w:lastColumn="0" w:lastRow="0" w:noHBand="0" w:noVBand="1" w:val="04A0"/>
        <w:tblInd w:w="120" w:type="dxa"/>
        <w:tblBorders>
          <w:top w:val="single" w:sz="8" w:space="0" w:color="C9D2DC"/>
          <w:left w:val="single" w:sz="8" w:space="0" w:color="C9D2DC"/>
          <w:bottom w:val="single" w:sz="8" w:space="0" w:color="C9D2DC"/>
          <w:right w:val="single" w:sz="8" w:space="0" w:color="C9D2DC"/>
          <w:insideH w:val="single" w:sz="8" w:space="0" w:color="C9D2DC"/>
          <w:insideV w:val="single" w:sz="8" w:space="0" w:color="C9D2DC"/>
        </w:tblBorders>
      </w:tblPr>
      <w:tblGrid>
        <w:gridCol w:w="9360"/>
      </w:tblGrid>
      <w:tr>
        <w:tc>
          <w:tcPr>
            <w:tcW w:type="dxa" w:w="9360"/>
            <w:shd w:fill="EAF2F8"/>
            <w:tcMar>
              <w:top w:w="160" w:type="dxa"/>
              <w:start w:w="180" w:type="dxa"/>
              <w:bottom w:w="160" w:type="dxa"/>
              <w:end w:w="180" w:type="dxa"/>
            </w:tcMar>
          </w:tcPr>
          <w:p>
            <w:pPr>
              <w:spacing w:after="0" w:line="264" w:lineRule="auto"/>
            </w:pPr>
            <w:r>
              <w:rPr>
                <w:rFonts w:ascii="Calibri" w:hAnsi="Calibri"/>
                <w:b w:val="0"/>
                <w:i/>
                <w:color w:val="17365D"/>
                <w:sz w:val="21"/>
              </w:rPr>
              <w:t>There may be a gap between fragmented location evidence and a consistent, review-ready, traceable candidate comparison. This discussion will help determine whether that gap is real, already addressed, or secondary to a different problem such as data access, data quality, ownership, or workflow integration.</w:t>
            </w:r>
          </w:p>
        </w:tc>
      </w:tr>
    </w:tbl>
    <w:p>
      <w:pPr>
        <w:keepLines w:val="0"/>
        <w:spacing w:before="0" w:after="40" w:line="264" w:lineRule="auto"/>
      </w:pPr>
      <w:r>
        <w:rPr>
          <w:rFonts w:ascii="Calibri" w:hAnsi="Calibri"/>
          <w:b w:val="0"/>
          <w:i w:val="0"/>
          <w:color w:val="1F1F1F"/>
          <w:sz w:val="22"/>
        </w:rPr>
      </w:r>
    </w:p>
    <w:p>
      <w:pPr>
        <w:pStyle w:val="Heading1"/>
      </w:pPr>
      <w:r>
        <w:rPr>
          <w:rFonts w:ascii="Calibri" w:hAnsi="Calibri"/>
          <w:b/>
          <w:i w:val="0"/>
          <w:color w:val="2E74B5"/>
          <w:sz w:val="32"/>
        </w:rPr>
        <w:t>Discovery questions</w:t>
      </w:r>
    </w:p>
    <w:p>
      <w:pPr>
        <w:pStyle w:val="Heading2"/>
        <w:keepNext/>
        <w:pageBreakBefore w:val="0"/>
      </w:pPr>
      <w:r>
        <w:rPr>
          <w:rFonts w:ascii="Calibri" w:hAnsi="Calibri"/>
          <w:b/>
          <w:i w:val="0"/>
          <w:color w:val="2E74B5"/>
          <w:sz w:val="26"/>
        </w:rPr>
        <w:t>1. Current workflow</w:t>
      </w:r>
    </w:p>
    <w:p>
      <w:pPr>
        <w:keepNext/>
        <w:keepLines/>
        <w:spacing w:before="0" w:after="80" w:line="264" w:lineRule="auto"/>
      </w:pPr>
      <w:r>
        <w:rPr>
          <w:rFonts w:ascii="Calibri" w:hAnsi="Calibri"/>
          <w:b w:val="0"/>
          <w:i w:val="0"/>
          <w:color w:val="1F1F1F"/>
          <w:sz w:val="22"/>
        </w:rPr>
        <w:t>Could you describe the major stages a candidate location moves through, from initial identification to approval, rejection, lease, or opening?</w:t>
      </w:r>
    </w:p>
    <w:p>
      <w:pPr>
        <w:keepNext/>
        <w:keepLines/>
        <w:spacing w:before="0" w:after="40" w:line="264" w:lineRule="auto"/>
      </w:pPr>
      <w:r>
        <w:rPr>
          <w:rFonts w:ascii="Calibri" w:hAnsi="Calibri"/>
          <w:b/>
          <w:i w:val="0"/>
          <w:color w:val="1F1F1F"/>
          <w:sz w:val="22"/>
        </w:rPr>
        <w:t>Helpful details:</w:t>
      </w:r>
    </w:p>
    <w:p>
      <w:pPr>
        <w:numPr>
          <w:ilvl w:val="0"/>
          <w:numId w:val="10"/>
        </w:numPr>
        <w:spacing w:before="0" w:after="80" w:line="280" w:lineRule="auto"/>
        <w:ind w:left="720" w:hanging="360"/>
      </w:pPr>
      <w:r>
        <w:rPr>
          <w:rFonts w:ascii="Calibri" w:hAnsi="Calibri"/>
          <w:b w:val="0"/>
          <w:i w:val="0"/>
          <w:color w:val="1F1F1F"/>
          <w:sz w:val="22"/>
        </w:rPr>
        <w:t>What starts the process and what decision is made at each stage?</w:t>
      </w:r>
    </w:p>
    <w:p>
      <w:pPr>
        <w:numPr>
          <w:ilvl w:val="0"/>
          <w:numId w:val="10"/>
        </w:numPr>
        <w:spacing w:before="0" w:after="80" w:line="280" w:lineRule="auto"/>
        <w:ind w:left="720" w:hanging="360"/>
      </w:pPr>
      <w:r>
        <w:rPr>
          <w:rFonts w:ascii="Calibri" w:hAnsi="Calibri"/>
          <w:b w:val="0"/>
          <w:i w:val="0"/>
          <w:color w:val="1F1F1F"/>
          <w:sz w:val="22"/>
        </w:rPr>
        <w:t>Who participates, who owns the candidate record, and who makes the final decision?</w:t>
      </w:r>
    </w:p>
    <w:p>
      <w:pPr>
        <w:numPr>
          <w:ilvl w:val="0"/>
          <w:numId w:val="10"/>
        </w:numPr>
        <w:spacing w:before="0" w:after="80" w:line="280" w:lineRule="auto"/>
        <w:ind w:left="720" w:hanging="360"/>
      </w:pPr>
      <w:r>
        <w:rPr>
          <w:rFonts w:ascii="Calibri" w:hAnsi="Calibri"/>
          <w:b w:val="0"/>
          <w:i w:val="0"/>
          <w:color w:val="1F1F1F"/>
          <w:sz w:val="22"/>
        </w:rPr>
        <w:t>When does a physical visit occur, and what can only be learned through that visit?</w:t>
      </w:r>
    </w:p>
    <w:tbl>
      <w:tblPr>
        <w:tblW w:type="dxa" w:w="9360"/>
        <w:jc w:val="left"/>
        <w:tblLayout w:type="fixed"/>
        <w:tblLook w:firstColumn="1" w:firstRow="1" w:lastColumn="0" w:lastRow="0" w:noHBand="0" w:noVBand="1" w:val="04A0"/>
        <w:tblInd w:w="120"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9360"/>
      </w:tblGrid>
      <w:tr>
        <w:tc>
          <w:tcPr>
            <w:tcW w:type="dxa" w:w="9360"/>
            <w:shd w:fill="EAF2F8"/>
            <w:tcMar>
              <w:top w:w="80" w:type="dxa"/>
              <w:start w:w="140" w:type="dxa"/>
              <w:bottom w:w="80" w:type="dxa"/>
              <w:end w:w="140" w:type="dxa"/>
            </w:tcMar>
            <w:vAlign w:val="top"/>
          </w:tcPr>
          <w:p>
            <w:pPr>
              <w:spacing w:after="60" w:line="264" w:lineRule="auto"/>
            </w:pPr>
            <w:r>
              <w:rPr>
                <w:rFonts w:ascii="Calibri" w:hAnsi="Calibri"/>
                <w:b/>
                <w:i w:val="0"/>
                <w:color w:val="1F4D78"/>
                <w:sz w:val="20"/>
              </w:rPr>
              <w:t>Response or link:</w:t>
            </w:r>
          </w:p>
          <w:p>
            <w:pPr>
              <w:spacing w:after="0" w:line="168" w:lineRule="auto"/>
            </w:pPr>
            <w:r>
              <w:rPr>
                <w:rFonts w:ascii="Calibri" w:hAnsi="Calibri"/>
                <w:b w:val="0"/>
                <w:i w:val="0"/>
                <w:color w:val="1F1F1F"/>
                <w:sz w:val="14"/>
              </w:rPr>
              <w:t xml:space="preserve"> </w:t>
            </w:r>
          </w:p>
        </w:tc>
      </w:tr>
    </w:tbl>
    <w:p>
      <w:pPr>
        <w:spacing w:after="60"/>
      </w:pPr>
    </w:p>
    <w:p>
      <w:pPr>
        <w:pStyle w:val="Heading2"/>
        <w:keepNext/>
        <w:pageBreakBefore w:val="0"/>
      </w:pPr>
      <w:r>
        <w:rPr>
          <w:rFonts w:ascii="Calibri" w:hAnsi="Calibri"/>
          <w:b/>
          <w:i w:val="0"/>
          <w:color w:val="2E74B5"/>
          <w:sz w:val="26"/>
        </w:rPr>
        <w:t>2. Most difficult part of the process</w:t>
      </w:r>
    </w:p>
    <w:p>
      <w:pPr>
        <w:keepNext/>
        <w:keepLines/>
        <w:spacing w:before="0" w:after="80" w:line="264" w:lineRule="auto"/>
      </w:pPr>
      <w:r>
        <w:rPr>
          <w:rFonts w:ascii="Calibri" w:hAnsi="Calibri"/>
          <w:b w:val="0"/>
          <w:i w:val="0"/>
          <w:color w:val="1F1F1F"/>
          <w:sz w:val="22"/>
        </w:rPr>
        <w:t>Where does the team currently spend the most time or encounter the most friction?</w:t>
      </w:r>
    </w:p>
    <w:p>
      <w:pPr>
        <w:keepNext/>
        <w:keepLines/>
        <w:spacing w:before="0" w:after="40" w:line="264" w:lineRule="auto"/>
      </w:pPr>
      <w:r>
        <w:rPr>
          <w:rFonts w:ascii="Calibri" w:hAnsi="Calibri"/>
          <w:b/>
          <w:i w:val="0"/>
          <w:color w:val="1F1F1F"/>
          <w:sz w:val="22"/>
        </w:rPr>
        <w:t>Helpful details:</w:t>
      </w:r>
    </w:p>
    <w:p>
      <w:pPr>
        <w:numPr>
          <w:ilvl w:val="0"/>
          <w:numId w:val="10"/>
        </w:numPr>
        <w:spacing w:before="0" w:after="80" w:line="280" w:lineRule="auto"/>
        <w:ind w:left="720" w:hanging="360"/>
      </w:pPr>
      <w:r>
        <w:rPr>
          <w:rFonts w:ascii="Calibri" w:hAnsi="Calibri"/>
          <w:b w:val="0"/>
          <w:i w:val="0"/>
          <w:color w:val="1F1F1F"/>
          <w:sz w:val="22"/>
        </w:rPr>
        <w:t>Evidence collection, data reconciliation, mapping, candidate comparison, or review preparation</w:t>
      </w:r>
    </w:p>
    <w:p>
      <w:pPr>
        <w:numPr>
          <w:ilvl w:val="0"/>
          <w:numId w:val="10"/>
        </w:numPr>
        <w:spacing w:before="0" w:after="80" w:line="280" w:lineRule="auto"/>
        <w:ind w:left="720" w:hanging="360"/>
      </w:pPr>
      <w:r>
        <w:rPr>
          <w:rFonts w:ascii="Calibri" w:hAnsi="Calibri"/>
          <w:b w:val="0"/>
          <w:i w:val="0"/>
          <w:color w:val="1F1F1F"/>
          <w:sz w:val="22"/>
        </w:rPr>
        <w:t>Stakeholder alignment, waiting for information, or revisiting prior decisions</w:t>
      </w:r>
    </w:p>
    <w:p>
      <w:pPr>
        <w:numPr>
          <w:ilvl w:val="0"/>
          <w:numId w:val="10"/>
        </w:numPr>
        <w:spacing w:before="0" w:after="80" w:line="280" w:lineRule="auto"/>
        <w:ind w:left="720" w:hanging="360"/>
      </w:pPr>
      <w:r>
        <w:rPr>
          <w:rFonts w:ascii="Calibri" w:hAnsi="Calibri"/>
          <w:b w:val="0"/>
          <w:i w:val="0"/>
          <w:color w:val="1F1F1F"/>
          <w:sz w:val="22"/>
        </w:rPr>
        <w:t>Work that consumes time without materially improving decision quality</w:t>
      </w:r>
    </w:p>
    <w:tbl>
      <w:tblPr>
        <w:tblW w:type="dxa" w:w="9360"/>
        <w:jc w:val="left"/>
        <w:tblLayout w:type="fixed"/>
        <w:tblLook w:firstColumn="1" w:firstRow="1" w:lastColumn="0" w:lastRow="0" w:noHBand="0" w:noVBand="1" w:val="04A0"/>
        <w:tblInd w:w="120"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9360"/>
      </w:tblGrid>
      <w:tr>
        <w:tc>
          <w:tcPr>
            <w:tcW w:type="dxa" w:w="9360"/>
            <w:shd w:fill="EAF2F8"/>
            <w:tcMar>
              <w:top w:w="80" w:type="dxa"/>
              <w:start w:w="140" w:type="dxa"/>
              <w:bottom w:w="80" w:type="dxa"/>
              <w:end w:w="140" w:type="dxa"/>
            </w:tcMar>
            <w:vAlign w:val="top"/>
          </w:tcPr>
          <w:p>
            <w:pPr>
              <w:spacing w:after="60" w:line="264" w:lineRule="auto"/>
            </w:pPr>
            <w:r>
              <w:rPr>
                <w:rFonts w:ascii="Calibri" w:hAnsi="Calibri"/>
                <w:b/>
                <w:i w:val="0"/>
                <w:color w:val="1F4D78"/>
                <w:sz w:val="20"/>
              </w:rPr>
              <w:t>Response or link:</w:t>
            </w:r>
          </w:p>
          <w:p>
            <w:pPr>
              <w:spacing w:after="0" w:line="168" w:lineRule="auto"/>
            </w:pPr>
            <w:r>
              <w:rPr>
                <w:rFonts w:ascii="Calibri" w:hAnsi="Calibri"/>
                <w:b w:val="0"/>
                <w:i w:val="0"/>
                <w:color w:val="1F1F1F"/>
                <w:sz w:val="14"/>
              </w:rPr>
              <w:t xml:space="preserve"> </w:t>
            </w:r>
          </w:p>
        </w:tc>
      </w:tr>
    </w:tbl>
    <w:p>
      <w:pPr>
        <w:spacing w:after="60"/>
      </w:pPr>
    </w:p>
    <w:p>
      <w:pPr>
        <w:pStyle w:val="Heading2"/>
        <w:keepNext/>
        <w:pageBreakBefore w:val="0"/>
      </w:pPr>
      <w:r>
        <w:rPr>
          <w:rFonts w:ascii="Calibri" w:hAnsi="Calibri"/>
          <w:b/>
          <w:i w:val="0"/>
          <w:color w:val="2E74B5"/>
          <w:sz w:val="26"/>
        </w:rPr>
        <w:t>3. Candidate funnel</w:t>
      </w:r>
    </w:p>
    <w:p>
      <w:pPr>
        <w:keepNext/>
        <w:keepLines/>
        <w:spacing w:before="0" w:after="80" w:line="264" w:lineRule="auto"/>
      </w:pPr>
      <w:r>
        <w:rPr>
          <w:rFonts w:ascii="Calibri" w:hAnsi="Calibri"/>
          <w:b w:val="0"/>
          <w:i w:val="0"/>
          <w:color w:val="1F1F1F"/>
          <w:sz w:val="22"/>
        </w:rPr>
        <w:t>Approximately how many candidate locations move through each stage in a typical market or year? Directional estimates are useful if exact figures are not tracked.</w:t>
      </w:r>
    </w:p>
    <w:p>
      <w:pPr>
        <w:keepNext/>
        <w:keepLines/>
        <w:spacing w:before="0" w:after="40" w:line="264" w:lineRule="auto"/>
      </w:pPr>
      <w:r>
        <w:rPr>
          <w:rFonts w:ascii="Calibri" w:hAnsi="Calibri"/>
          <w:b/>
          <w:i w:val="0"/>
          <w:color w:val="1F1F1F"/>
          <w:sz w:val="22"/>
        </w:rPr>
        <w:t>Helpful details:</w:t>
      </w:r>
    </w:p>
    <w:p>
      <w:pPr>
        <w:numPr>
          <w:ilvl w:val="0"/>
          <w:numId w:val="10"/>
        </w:numPr>
        <w:spacing w:before="0" w:after="80" w:line="280" w:lineRule="auto"/>
        <w:ind w:left="720" w:hanging="360"/>
      </w:pPr>
      <w:r>
        <w:rPr>
          <w:rFonts w:ascii="Calibri" w:hAnsi="Calibri"/>
          <w:b w:val="0"/>
          <w:i w:val="0"/>
          <w:color w:val="1F1F1F"/>
          <w:sz w:val="22"/>
        </w:rPr>
        <w:t>Initial candidates and detailed desktop evaluations</w:t>
      </w:r>
    </w:p>
    <w:p>
      <w:pPr>
        <w:numPr>
          <w:ilvl w:val="0"/>
          <w:numId w:val="10"/>
        </w:numPr>
        <w:spacing w:before="0" w:after="80" w:line="280" w:lineRule="auto"/>
        <w:ind w:left="720" w:hanging="360"/>
      </w:pPr>
      <w:r>
        <w:rPr>
          <w:rFonts w:ascii="Calibri" w:hAnsi="Calibri"/>
          <w:b w:val="0"/>
          <w:i w:val="0"/>
          <w:color w:val="1F1F1F"/>
          <w:sz w:val="22"/>
        </w:rPr>
        <w:t>Physical visits and negotiations or letters of intent</w:t>
      </w:r>
    </w:p>
    <w:p>
      <w:pPr>
        <w:numPr>
          <w:ilvl w:val="0"/>
          <w:numId w:val="10"/>
        </w:numPr>
        <w:spacing w:before="0" w:after="80" w:line="280" w:lineRule="auto"/>
        <w:ind w:left="720" w:hanging="360"/>
      </w:pPr>
      <w:r>
        <w:rPr>
          <w:rFonts w:ascii="Calibri" w:hAnsi="Calibri"/>
          <w:b w:val="0"/>
          <w:i w:val="0"/>
          <w:color w:val="1F1F1F"/>
          <w:sz w:val="22"/>
        </w:rPr>
        <w:t>Approved, leased, and opened locations</w:t>
      </w:r>
    </w:p>
    <w:tbl>
      <w:tblPr>
        <w:tblW w:type="dxa" w:w="9360"/>
        <w:jc w:val="left"/>
        <w:tblLayout w:type="fixed"/>
        <w:tblLook w:firstColumn="1" w:firstRow="1" w:lastColumn="0" w:lastRow="0" w:noHBand="0" w:noVBand="1" w:val="04A0"/>
        <w:tblInd w:w="120"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9360"/>
      </w:tblGrid>
      <w:tr>
        <w:tc>
          <w:tcPr>
            <w:tcW w:type="dxa" w:w="9360"/>
            <w:shd w:fill="EAF2F8"/>
            <w:tcMar>
              <w:top w:w="80" w:type="dxa"/>
              <w:start w:w="140" w:type="dxa"/>
              <w:bottom w:w="80" w:type="dxa"/>
              <w:end w:w="140" w:type="dxa"/>
            </w:tcMar>
            <w:vAlign w:val="top"/>
          </w:tcPr>
          <w:p>
            <w:pPr>
              <w:spacing w:after="60" w:line="264" w:lineRule="auto"/>
            </w:pPr>
            <w:r>
              <w:rPr>
                <w:rFonts w:ascii="Calibri" w:hAnsi="Calibri"/>
                <w:b/>
                <w:i w:val="0"/>
                <w:color w:val="1F4D78"/>
                <w:sz w:val="20"/>
              </w:rPr>
              <w:t>Response or link:</w:t>
            </w:r>
          </w:p>
          <w:p>
            <w:pPr>
              <w:spacing w:after="0" w:line="168" w:lineRule="auto"/>
            </w:pPr>
            <w:r>
              <w:rPr>
                <w:rFonts w:ascii="Calibri" w:hAnsi="Calibri"/>
                <w:b w:val="0"/>
                <w:i w:val="0"/>
                <w:color w:val="1F1F1F"/>
                <w:sz w:val="14"/>
              </w:rPr>
              <w:t xml:space="preserve"> </w:t>
            </w:r>
          </w:p>
        </w:tc>
      </w:tr>
    </w:tbl>
    <w:p>
      <w:pPr>
        <w:spacing w:after="60"/>
      </w:pPr>
    </w:p>
    <w:p>
      <w:pPr>
        <w:pStyle w:val="Heading2"/>
        <w:keepNext/>
        <w:pageBreakBefore w:val="0"/>
      </w:pPr>
      <w:r>
        <w:rPr>
          <w:rFonts w:ascii="Calibri" w:hAnsi="Calibri"/>
          <w:b/>
          <w:i w:val="0"/>
          <w:color w:val="2E74B5"/>
          <w:sz w:val="26"/>
        </w:rPr>
        <w:t>4. Nonviability and rejection</w:t>
      </w:r>
    </w:p>
    <w:p>
      <w:pPr>
        <w:keepNext/>
        <w:keepLines/>
        <w:spacing w:before="0" w:after="80" w:line="264" w:lineRule="auto"/>
      </w:pPr>
      <w:r>
        <w:rPr>
          <w:rFonts w:ascii="Calibri" w:hAnsi="Calibri"/>
          <w:b w:val="0"/>
          <w:i w:val="0"/>
          <w:color w:val="1F1F1F"/>
          <w:sz w:val="22"/>
        </w:rPr>
        <w:t>What are the most common reasons a candidate location becomes nonviable?</w:t>
      </w:r>
    </w:p>
    <w:p>
      <w:pPr>
        <w:keepNext/>
        <w:keepLines/>
        <w:spacing w:before="0" w:after="40" w:line="264" w:lineRule="auto"/>
      </w:pPr>
      <w:r>
        <w:rPr>
          <w:rFonts w:ascii="Calibri" w:hAnsi="Calibri"/>
          <w:b/>
          <w:i w:val="0"/>
          <w:color w:val="1F1F1F"/>
          <w:sz w:val="22"/>
        </w:rPr>
        <w:t>Helpful details:</w:t>
      </w:r>
    </w:p>
    <w:p>
      <w:pPr>
        <w:numPr>
          <w:ilvl w:val="0"/>
          <w:numId w:val="10"/>
        </w:numPr>
        <w:spacing w:before="0" w:after="80" w:line="280" w:lineRule="auto"/>
        <w:ind w:left="720" w:hanging="360"/>
      </w:pPr>
      <w:r>
        <w:rPr>
          <w:rFonts w:ascii="Calibri" w:hAnsi="Calibri"/>
          <w:b w:val="0"/>
          <w:i w:val="0"/>
          <w:color w:val="1F1F1F"/>
          <w:sz w:val="22"/>
        </w:rPr>
        <w:t>Reasons found during initial screening, detailed evaluation, or physical visits</w:t>
      </w:r>
    </w:p>
    <w:p>
      <w:pPr>
        <w:numPr>
          <w:ilvl w:val="0"/>
          <w:numId w:val="10"/>
        </w:numPr>
        <w:spacing w:before="0" w:after="80" w:line="280" w:lineRule="auto"/>
        <w:ind w:left="720" w:hanging="360"/>
      </w:pPr>
      <w:r>
        <w:rPr>
          <w:rFonts w:ascii="Calibri" w:hAnsi="Calibri"/>
          <w:b w:val="0"/>
          <w:i w:val="0"/>
          <w:color w:val="1F1F1F"/>
          <w:sz w:val="22"/>
        </w:rPr>
        <w:t>Negotiation, diligence, regulatory, staffing, or property issues</w:t>
      </w:r>
    </w:p>
    <w:p>
      <w:pPr>
        <w:numPr>
          <w:ilvl w:val="0"/>
          <w:numId w:val="10"/>
        </w:numPr>
        <w:spacing w:before="0" w:after="80" w:line="280" w:lineRule="auto"/>
        <w:ind w:left="720" w:hanging="360"/>
      </w:pPr>
      <w:r>
        <w:rPr>
          <w:rFonts w:ascii="Calibri" w:hAnsi="Calibri"/>
          <w:b w:val="0"/>
          <w:i w:val="0"/>
          <w:color w:val="1F1F1F"/>
          <w:sz w:val="22"/>
        </w:rPr>
        <w:t>Issues discovered later than the team would prefer</w:t>
      </w:r>
    </w:p>
    <w:p>
      <w:pPr>
        <w:numPr>
          <w:ilvl w:val="0"/>
          <w:numId w:val="10"/>
        </w:numPr>
        <w:spacing w:before="0" w:after="80" w:line="280" w:lineRule="auto"/>
        <w:ind w:left="720" w:hanging="360"/>
      </w:pPr>
      <w:r>
        <w:rPr>
          <w:rFonts w:ascii="Calibri" w:hAnsi="Calibri"/>
          <w:b w:val="0"/>
          <w:i w:val="0"/>
          <w:color w:val="1F1F1F"/>
          <w:sz w:val="22"/>
        </w:rPr>
        <w:t>Whether rejection reasons are recorded in a structured or searchable way</w:t>
      </w:r>
    </w:p>
    <w:tbl>
      <w:tblPr>
        <w:tblW w:type="dxa" w:w="9360"/>
        <w:jc w:val="left"/>
        <w:tblLayout w:type="fixed"/>
        <w:tblLook w:firstColumn="1" w:firstRow="1" w:lastColumn="0" w:lastRow="0" w:noHBand="0" w:noVBand="1" w:val="04A0"/>
        <w:tblInd w:w="120"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9360"/>
      </w:tblGrid>
      <w:tr>
        <w:tc>
          <w:tcPr>
            <w:tcW w:type="dxa" w:w="9360"/>
            <w:shd w:fill="EAF2F8"/>
            <w:tcMar>
              <w:top w:w="80" w:type="dxa"/>
              <w:start w:w="140" w:type="dxa"/>
              <w:bottom w:w="80" w:type="dxa"/>
              <w:end w:w="140" w:type="dxa"/>
            </w:tcMar>
            <w:vAlign w:val="top"/>
          </w:tcPr>
          <w:p>
            <w:pPr>
              <w:spacing w:after="60" w:line="264" w:lineRule="auto"/>
            </w:pPr>
            <w:r>
              <w:rPr>
                <w:rFonts w:ascii="Calibri" w:hAnsi="Calibri"/>
                <w:b/>
                <w:i w:val="0"/>
                <w:color w:val="1F4D78"/>
                <w:sz w:val="20"/>
              </w:rPr>
              <w:t>Response or link:</w:t>
            </w:r>
          </w:p>
          <w:p>
            <w:pPr>
              <w:spacing w:after="0" w:line="168" w:lineRule="auto"/>
            </w:pPr>
            <w:r>
              <w:rPr>
                <w:rFonts w:ascii="Calibri" w:hAnsi="Calibri"/>
                <w:b w:val="0"/>
                <w:i w:val="0"/>
                <w:color w:val="1F1F1F"/>
                <w:sz w:val="14"/>
              </w:rPr>
              <w:t xml:space="preserve"> </w:t>
            </w:r>
          </w:p>
        </w:tc>
      </w:tr>
    </w:tbl>
    <w:p>
      <w:pPr>
        <w:spacing w:after="60"/>
      </w:pPr>
    </w:p>
    <w:p>
      <w:pPr>
        <w:pStyle w:val="Heading2"/>
        <w:keepNext/>
        <w:pageBreakBefore w:val="0"/>
      </w:pPr>
      <w:r>
        <w:rPr>
          <w:rFonts w:ascii="Calibri" w:hAnsi="Calibri"/>
          <w:b/>
          <w:i w:val="0"/>
          <w:color w:val="2E74B5"/>
          <w:sz w:val="26"/>
        </w:rPr>
        <w:t>5. Evaluation criteria</w:t>
      </w:r>
    </w:p>
    <w:p>
      <w:pPr>
        <w:keepNext/>
        <w:keepLines/>
        <w:spacing w:before="0" w:after="80" w:line="264" w:lineRule="auto"/>
      </w:pPr>
      <w:r>
        <w:rPr>
          <w:rFonts w:ascii="Calibri" w:hAnsi="Calibri"/>
          <w:b w:val="0"/>
          <w:i w:val="0"/>
          <w:color w:val="1F1F1F"/>
          <w:sz w:val="22"/>
        </w:rPr>
        <w:t>Which factors are most important when evaluating a location, and how are they applied?</w:t>
      </w:r>
    </w:p>
    <w:p>
      <w:pPr>
        <w:keepNext/>
        <w:keepLines/>
        <w:spacing w:before="0" w:after="40" w:line="264" w:lineRule="auto"/>
      </w:pPr>
      <w:r>
        <w:rPr>
          <w:rFonts w:ascii="Calibri" w:hAnsi="Calibri"/>
          <w:b/>
          <w:i w:val="0"/>
          <w:color w:val="1F1F1F"/>
          <w:sz w:val="22"/>
        </w:rPr>
        <w:t>Helpful details:</w:t>
      </w:r>
    </w:p>
    <w:p>
      <w:pPr>
        <w:numPr>
          <w:ilvl w:val="0"/>
          <w:numId w:val="10"/>
        </w:numPr>
        <w:spacing w:before="0" w:after="80" w:line="280" w:lineRule="auto"/>
        <w:ind w:left="720" w:hanging="360"/>
      </w:pPr>
      <w:r>
        <w:rPr>
          <w:rFonts w:ascii="Calibri" w:hAnsi="Calibri"/>
          <w:b w:val="0"/>
          <w:i w:val="0"/>
          <w:color w:val="1F1F1F"/>
          <w:sz w:val="22"/>
        </w:rPr>
        <w:t>Hard constraints versus preferences that can be traded against one another</w:t>
      </w:r>
    </w:p>
    <w:p>
      <w:pPr>
        <w:numPr>
          <w:ilvl w:val="0"/>
          <w:numId w:val="10"/>
        </w:numPr>
        <w:spacing w:before="0" w:after="80" w:line="280" w:lineRule="auto"/>
        <w:ind w:left="720" w:hanging="360"/>
      </w:pPr>
      <w:r>
        <w:rPr>
          <w:rFonts w:ascii="Calibri" w:hAnsi="Calibri"/>
          <w:b w:val="0"/>
          <w:i w:val="0"/>
          <w:color w:val="1F1F1F"/>
          <w:sz w:val="22"/>
        </w:rPr>
        <w:t>Quantitative criteria versus qualitative or experience-based judgment</w:t>
      </w:r>
    </w:p>
    <w:p>
      <w:pPr>
        <w:numPr>
          <w:ilvl w:val="0"/>
          <w:numId w:val="10"/>
        </w:numPr>
        <w:spacing w:before="0" w:after="80" w:line="280" w:lineRule="auto"/>
        <w:ind w:left="720" w:hanging="360"/>
      </w:pPr>
      <w:r>
        <w:rPr>
          <w:rFonts w:ascii="Calibri" w:hAnsi="Calibri"/>
          <w:b w:val="0"/>
          <w:i w:val="0"/>
          <w:color w:val="1F1F1F"/>
          <w:sz w:val="22"/>
        </w:rPr>
        <w:t>Criteria that vary by market or clinic format</w:t>
      </w:r>
    </w:p>
    <w:p>
      <w:pPr>
        <w:numPr>
          <w:ilvl w:val="0"/>
          <w:numId w:val="10"/>
        </w:numPr>
        <w:spacing w:before="0" w:after="80" w:line="280" w:lineRule="auto"/>
        <w:ind w:left="720" w:hanging="360"/>
      </w:pPr>
      <w:r>
        <w:rPr>
          <w:rFonts w:ascii="Calibri" w:hAnsi="Calibri"/>
          <w:b w:val="0"/>
          <w:i w:val="0"/>
          <w:color w:val="1F1F1F"/>
          <w:sz w:val="22"/>
        </w:rPr>
        <w:t>Who owns and approves definitions, thresholds, and weights</w:t>
      </w:r>
    </w:p>
    <w:tbl>
      <w:tblPr>
        <w:tblW w:type="dxa" w:w="9360"/>
        <w:jc w:val="left"/>
        <w:tblLayout w:type="fixed"/>
        <w:tblLook w:firstColumn="1" w:firstRow="1" w:lastColumn="0" w:lastRow="0" w:noHBand="0" w:noVBand="1" w:val="04A0"/>
        <w:tblInd w:w="120"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9360"/>
      </w:tblGrid>
      <w:tr>
        <w:tc>
          <w:tcPr>
            <w:tcW w:type="dxa" w:w="9360"/>
            <w:shd w:fill="EAF2F8"/>
            <w:tcMar>
              <w:top w:w="80" w:type="dxa"/>
              <w:start w:w="140" w:type="dxa"/>
              <w:bottom w:w="80" w:type="dxa"/>
              <w:end w:w="140" w:type="dxa"/>
            </w:tcMar>
            <w:vAlign w:val="top"/>
          </w:tcPr>
          <w:p>
            <w:pPr>
              <w:spacing w:after="60" w:line="264" w:lineRule="auto"/>
            </w:pPr>
            <w:r>
              <w:rPr>
                <w:rFonts w:ascii="Calibri" w:hAnsi="Calibri"/>
                <w:b/>
                <w:i w:val="0"/>
                <w:color w:val="1F4D78"/>
                <w:sz w:val="20"/>
              </w:rPr>
              <w:t>Response or link:</w:t>
            </w:r>
          </w:p>
          <w:p>
            <w:pPr>
              <w:spacing w:after="0" w:line="168" w:lineRule="auto"/>
            </w:pPr>
            <w:r>
              <w:rPr>
                <w:rFonts w:ascii="Calibri" w:hAnsi="Calibri"/>
                <w:b w:val="0"/>
                <w:i w:val="0"/>
                <w:color w:val="1F1F1F"/>
                <w:sz w:val="14"/>
              </w:rPr>
              <w:t xml:space="preserve"> </w:t>
            </w:r>
          </w:p>
        </w:tc>
      </w:tr>
    </w:tbl>
    <w:p>
      <w:pPr>
        <w:spacing w:after="60"/>
      </w:pPr>
    </w:p>
    <w:p>
      <w:pPr>
        <w:pStyle w:val="Heading2"/>
        <w:keepNext/>
        <w:pageBreakBefore w:val="0"/>
      </w:pPr>
      <w:r>
        <w:rPr>
          <w:rFonts w:ascii="Calibri" w:hAnsi="Calibri"/>
          <w:b/>
          <w:i w:val="0"/>
          <w:color w:val="2E74B5"/>
          <w:sz w:val="26"/>
        </w:rPr>
        <w:t>6. Tools and evidence</w:t>
      </w:r>
    </w:p>
    <w:p>
      <w:pPr>
        <w:keepNext/>
        <w:keepLines/>
        <w:spacing w:before="0" w:after="80" w:line="264" w:lineRule="auto"/>
      </w:pPr>
      <w:r>
        <w:rPr>
          <w:rFonts w:ascii="Calibri" w:hAnsi="Calibri"/>
          <w:b w:val="0"/>
          <w:i w:val="0"/>
          <w:color w:val="1F1F1F"/>
          <w:sz w:val="22"/>
        </w:rPr>
        <w:t>Which systems, reports, datasets, and documents are used today?</w:t>
      </w:r>
    </w:p>
    <w:p>
      <w:pPr>
        <w:keepNext/>
        <w:keepLines/>
        <w:spacing w:before="0" w:after="40" w:line="264" w:lineRule="auto"/>
      </w:pPr>
      <w:r>
        <w:rPr>
          <w:rFonts w:ascii="Calibri" w:hAnsi="Calibri"/>
          <w:b/>
          <w:i w:val="0"/>
          <w:color w:val="1F1F1F"/>
          <w:sz w:val="22"/>
        </w:rPr>
        <w:t>Helpful details:</w:t>
      </w:r>
    </w:p>
    <w:p>
      <w:pPr>
        <w:numPr>
          <w:ilvl w:val="0"/>
          <w:numId w:val="10"/>
        </w:numPr>
        <w:spacing w:before="0" w:after="80" w:line="280" w:lineRule="auto"/>
        <w:ind w:left="720" w:hanging="360"/>
      </w:pPr>
      <w:r>
        <w:rPr>
          <w:rFonts w:ascii="Calibri" w:hAnsi="Calibri"/>
          <w:b w:val="0"/>
          <w:i w:val="0"/>
          <w:color w:val="1F1F1F"/>
          <w:sz w:val="22"/>
        </w:rPr>
        <w:t>Esri dashboards or layers, candidate-pipeline systems, and internal customer or market data</w:t>
      </w:r>
    </w:p>
    <w:p>
      <w:pPr>
        <w:numPr>
          <w:ilvl w:val="0"/>
          <w:numId w:val="10"/>
        </w:numPr>
        <w:spacing w:before="0" w:after="80" w:line="280" w:lineRule="auto"/>
        <w:ind w:left="720" w:hanging="360"/>
      </w:pPr>
      <w:r>
        <w:rPr>
          <w:rFonts w:ascii="Calibri" w:hAnsi="Calibri"/>
          <w:b w:val="0"/>
          <w:i w:val="0"/>
          <w:color w:val="1F1F1F"/>
          <w:sz w:val="22"/>
        </w:rPr>
        <w:t>Competitor, foot-traffic, demographic, broker, landlord, or property materials</w:t>
      </w:r>
    </w:p>
    <w:p>
      <w:pPr>
        <w:numPr>
          <w:ilvl w:val="0"/>
          <w:numId w:val="10"/>
        </w:numPr>
        <w:spacing w:before="0" w:after="80" w:line="280" w:lineRule="auto"/>
        <w:ind w:left="720" w:hanging="360"/>
      </w:pPr>
      <w:r>
        <w:rPr>
          <w:rFonts w:ascii="Calibri" w:hAnsi="Calibri"/>
          <w:b w:val="0"/>
          <w:i w:val="0"/>
          <w:color w:val="1F1F1F"/>
          <w:sz w:val="22"/>
        </w:rPr>
        <w:t>Which sources are authoritative and which require manual interpretation or reconciliation</w:t>
      </w:r>
    </w:p>
    <w:p>
      <w:pPr>
        <w:numPr>
          <w:ilvl w:val="0"/>
          <w:numId w:val="10"/>
        </w:numPr>
        <w:spacing w:before="0" w:after="80" w:line="280" w:lineRule="auto"/>
        <w:ind w:left="720" w:hanging="360"/>
      </w:pPr>
      <w:r>
        <w:rPr>
          <w:rFonts w:ascii="Calibri" w:hAnsi="Calibri"/>
          <w:b w:val="0"/>
          <w:i w:val="0"/>
          <w:color w:val="1F1F1F"/>
          <w:sz w:val="22"/>
        </w:rPr>
        <w:t>Which sources are difficult to access, stale, incomplete, or restricted</w:t>
      </w:r>
    </w:p>
    <w:tbl>
      <w:tblPr>
        <w:tblW w:type="dxa" w:w="9360"/>
        <w:jc w:val="left"/>
        <w:tblLayout w:type="fixed"/>
        <w:tblLook w:firstColumn="1" w:firstRow="1" w:lastColumn="0" w:lastRow="0" w:noHBand="0" w:noVBand="1" w:val="04A0"/>
        <w:tblInd w:w="120"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9360"/>
      </w:tblGrid>
      <w:tr>
        <w:tc>
          <w:tcPr>
            <w:tcW w:type="dxa" w:w="9360"/>
            <w:shd w:fill="EAF2F8"/>
            <w:tcMar>
              <w:top w:w="80" w:type="dxa"/>
              <w:start w:w="140" w:type="dxa"/>
              <w:bottom w:w="80" w:type="dxa"/>
              <w:end w:w="140" w:type="dxa"/>
            </w:tcMar>
            <w:vAlign w:val="top"/>
          </w:tcPr>
          <w:p>
            <w:pPr>
              <w:spacing w:after="60" w:line="264" w:lineRule="auto"/>
            </w:pPr>
            <w:r>
              <w:rPr>
                <w:rFonts w:ascii="Calibri" w:hAnsi="Calibri"/>
                <w:b/>
                <w:i w:val="0"/>
                <w:color w:val="1F4D78"/>
                <w:sz w:val="20"/>
              </w:rPr>
              <w:t>Response or link:</w:t>
            </w:r>
          </w:p>
          <w:p>
            <w:pPr>
              <w:spacing w:after="0" w:line="168" w:lineRule="auto"/>
            </w:pPr>
            <w:r>
              <w:rPr>
                <w:rFonts w:ascii="Calibri" w:hAnsi="Calibri"/>
                <w:b w:val="0"/>
                <w:i w:val="0"/>
                <w:color w:val="1F1F1F"/>
                <w:sz w:val="14"/>
              </w:rPr>
              <w:t xml:space="preserve"> </w:t>
            </w:r>
          </w:p>
        </w:tc>
      </w:tr>
    </w:tbl>
    <w:p>
      <w:pPr>
        <w:spacing w:after="60"/>
      </w:pPr>
    </w:p>
    <w:p>
      <w:pPr>
        <w:pStyle w:val="Heading2"/>
        <w:keepNext/>
        <w:pageBreakBefore w:val="0"/>
      </w:pPr>
      <w:r>
        <w:rPr>
          <w:rFonts w:ascii="Calibri" w:hAnsi="Calibri"/>
          <w:b/>
          <w:i w:val="0"/>
          <w:color w:val="2E74B5"/>
          <w:sz w:val="26"/>
        </w:rPr>
        <w:t>7. Decision consistency and traceability</w:t>
      </w:r>
    </w:p>
    <w:p>
      <w:pPr>
        <w:keepNext/>
        <w:keepLines/>
        <w:spacing w:before="0" w:after="80" w:line="264" w:lineRule="auto"/>
      </w:pPr>
      <w:r>
        <w:rPr>
          <w:rFonts w:ascii="Calibri" w:hAnsi="Calibri"/>
          <w:b w:val="0"/>
          <w:i w:val="0"/>
          <w:color w:val="1F1F1F"/>
          <w:sz w:val="22"/>
        </w:rPr>
        <w:t>How easy is it to reconstruct why a location advanced or was rejected several months later?</w:t>
      </w:r>
    </w:p>
    <w:p>
      <w:pPr>
        <w:keepNext/>
        <w:keepLines/>
        <w:spacing w:before="0" w:after="40" w:line="264" w:lineRule="auto"/>
      </w:pPr>
      <w:r>
        <w:rPr>
          <w:rFonts w:ascii="Calibri" w:hAnsi="Calibri"/>
          <w:b/>
          <w:i w:val="0"/>
          <w:color w:val="1F1F1F"/>
          <w:sz w:val="22"/>
        </w:rPr>
        <w:t>Helpful details:</w:t>
      </w:r>
    </w:p>
    <w:p>
      <w:pPr>
        <w:numPr>
          <w:ilvl w:val="0"/>
          <w:numId w:val="10"/>
        </w:numPr>
        <w:spacing w:before="0" w:after="80" w:line="280" w:lineRule="auto"/>
        <w:ind w:left="720" w:hanging="360"/>
      </w:pPr>
      <w:r>
        <w:rPr>
          <w:rFonts w:ascii="Calibri" w:hAnsi="Calibri"/>
          <w:b w:val="0"/>
          <w:i w:val="0"/>
          <w:color w:val="1F1F1F"/>
          <w:sz w:val="22"/>
        </w:rPr>
        <w:t>Whether evidence, criteria, comments, overrides, and final rationale are preserved</w:t>
      </w:r>
    </w:p>
    <w:p>
      <w:pPr>
        <w:numPr>
          <w:ilvl w:val="0"/>
          <w:numId w:val="10"/>
        </w:numPr>
        <w:spacing w:before="0" w:after="80" w:line="280" w:lineRule="auto"/>
        <w:ind w:left="720" w:hanging="360"/>
      </w:pPr>
      <w:r>
        <w:rPr>
          <w:rFonts w:ascii="Calibri" w:hAnsi="Calibri"/>
          <w:b w:val="0"/>
          <w:i w:val="0"/>
          <w:color w:val="1F1F1F"/>
          <w:sz w:val="22"/>
        </w:rPr>
        <w:t>Whether two reviewers generally reach the same conclusion</w:t>
      </w:r>
    </w:p>
    <w:p>
      <w:pPr>
        <w:numPr>
          <w:ilvl w:val="0"/>
          <w:numId w:val="10"/>
        </w:numPr>
        <w:spacing w:before="0" w:after="80" w:line="280" w:lineRule="auto"/>
        <w:ind w:left="720" w:hanging="360"/>
      </w:pPr>
      <w:r>
        <w:rPr>
          <w:rFonts w:ascii="Calibri" w:hAnsi="Calibri"/>
          <w:b w:val="0"/>
          <w:i w:val="0"/>
          <w:color w:val="1F1F1F"/>
          <w:sz w:val="22"/>
        </w:rPr>
        <w:t>How disagreements and exceptions are resolved</w:t>
      </w:r>
    </w:p>
    <w:tbl>
      <w:tblPr>
        <w:tblW w:type="dxa" w:w="9360"/>
        <w:jc w:val="left"/>
        <w:tblLayout w:type="fixed"/>
        <w:tblLook w:firstColumn="1" w:firstRow="1" w:lastColumn="0" w:lastRow="0" w:noHBand="0" w:noVBand="1" w:val="04A0"/>
        <w:tblInd w:w="120"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9360"/>
      </w:tblGrid>
      <w:tr>
        <w:tc>
          <w:tcPr>
            <w:tcW w:type="dxa" w:w="9360"/>
            <w:shd w:fill="EAF2F8"/>
            <w:tcMar>
              <w:top w:w="80" w:type="dxa"/>
              <w:start w:w="140" w:type="dxa"/>
              <w:bottom w:w="80" w:type="dxa"/>
              <w:end w:w="140" w:type="dxa"/>
            </w:tcMar>
            <w:vAlign w:val="top"/>
          </w:tcPr>
          <w:p>
            <w:pPr>
              <w:spacing w:after="60" w:line="264" w:lineRule="auto"/>
            </w:pPr>
            <w:r>
              <w:rPr>
                <w:rFonts w:ascii="Calibri" w:hAnsi="Calibri"/>
                <w:b/>
                <w:i w:val="0"/>
                <w:color w:val="1F4D78"/>
                <w:sz w:val="20"/>
              </w:rPr>
              <w:t>Response or link:</w:t>
            </w:r>
          </w:p>
          <w:p>
            <w:pPr>
              <w:spacing w:after="0" w:line="168" w:lineRule="auto"/>
            </w:pPr>
            <w:r>
              <w:rPr>
                <w:rFonts w:ascii="Calibri" w:hAnsi="Calibri"/>
                <w:b w:val="0"/>
                <w:i w:val="0"/>
                <w:color w:val="1F1F1F"/>
                <w:sz w:val="14"/>
              </w:rPr>
              <w:t xml:space="preserve"> </w:t>
            </w:r>
          </w:p>
        </w:tc>
      </w:tr>
    </w:tbl>
    <w:p>
      <w:pPr>
        <w:spacing w:after="60"/>
      </w:pPr>
    </w:p>
    <w:p>
      <w:pPr>
        <w:pStyle w:val="Heading2"/>
        <w:keepNext/>
        <w:pageBreakBefore w:val="0"/>
      </w:pPr>
      <w:r>
        <w:rPr>
          <w:rFonts w:ascii="Calibri" w:hAnsi="Calibri"/>
          <w:b/>
          <w:i w:val="0"/>
          <w:color w:val="2E74B5"/>
          <w:sz w:val="26"/>
        </w:rPr>
        <w:t>8. Measuring location success</w:t>
      </w:r>
    </w:p>
    <w:p>
      <w:pPr>
        <w:keepNext/>
        <w:keepLines/>
        <w:spacing w:before="0" w:after="80" w:line="264" w:lineRule="auto"/>
      </w:pPr>
      <w:r>
        <w:rPr>
          <w:rFonts w:ascii="Calibri" w:hAnsi="Calibri"/>
          <w:b w:val="0"/>
          <w:i w:val="0"/>
          <w:color w:val="1F1F1F"/>
          <w:sz w:val="22"/>
        </w:rPr>
        <w:t>How does the business determine whether an opened location was a successful selection?</w:t>
      </w:r>
    </w:p>
    <w:p>
      <w:pPr>
        <w:keepNext/>
        <w:keepLines/>
        <w:spacing w:before="0" w:after="40" w:line="264" w:lineRule="auto"/>
      </w:pPr>
      <w:r>
        <w:rPr>
          <w:rFonts w:ascii="Calibri" w:hAnsi="Calibri"/>
          <w:b/>
          <w:i w:val="0"/>
          <w:color w:val="1F1F1F"/>
          <w:sz w:val="22"/>
        </w:rPr>
        <w:t>Helpful details:</w:t>
      </w:r>
    </w:p>
    <w:p>
      <w:pPr>
        <w:numPr>
          <w:ilvl w:val="0"/>
          <w:numId w:val="10"/>
        </w:numPr>
        <w:spacing w:before="0" w:after="80" w:line="280" w:lineRule="auto"/>
        <w:ind w:left="720" w:hanging="360"/>
      </w:pPr>
      <w:r>
        <w:rPr>
          <w:rFonts w:ascii="Calibri" w:hAnsi="Calibri"/>
          <w:b w:val="0"/>
          <w:i w:val="0"/>
          <w:color w:val="1F1F1F"/>
          <w:sz w:val="22"/>
        </w:rPr>
        <w:t>Primary performance outcome and required maturity period</w:t>
      </w:r>
    </w:p>
    <w:p>
      <w:pPr>
        <w:numPr>
          <w:ilvl w:val="0"/>
          <w:numId w:val="10"/>
        </w:numPr>
        <w:spacing w:before="0" w:after="80" w:line="280" w:lineRule="auto"/>
        <w:ind w:left="720" w:hanging="360"/>
      </w:pPr>
      <w:r>
        <w:rPr>
          <w:rFonts w:ascii="Calibri" w:hAnsi="Calibri"/>
          <w:b w:val="0"/>
          <w:i w:val="0"/>
          <w:color w:val="1F1F1F"/>
          <w:sz w:val="22"/>
        </w:rPr>
        <w:t>Market, clinic-format, staffing, marketing, and operational adjustments</w:t>
      </w:r>
    </w:p>
    <w:p>
      <w:pPr>
        <w:numPr>
          <w:ilvl w:val="0"/>
          <w:numId w:val="10"/>
        </w:numPr>
        <w:spacing w:before="0" w:after="80" w:line="280" w:lineRule="auto"/>
        <w:ind w:left="720" w:hanging="360"/>
      </w:pPr>
      <w:r>
        <w:rPr>
          <w:rFonts w:ascii="Calibri" w:hAnsi="Calibri"/>
          <w:b w:val="0"/>
          <w:i w:val="0"/>
          <w:color w:val="1F1F1F"/>
          <w:sz w:val="22"/>
        </w:rPr>
        <w:t>Existing dashboards or authoritative outcome sources</w:t>
      </w:r>
    </w:p>
    <w:p>
      <w:pPr>
        <w:numPr>
          <w:ilvl w:val="0"/>
          <w:numId w:val="10"/>
        </w:numPr>
        <w:spacing w:before="0" w:after="80" w:line="280" w:lineRule="auto"/>
        <w:ind w:left="720" w:hanging="360"/>
      </w:pPr>
      <w:r>
        <w:rPr>
          <w:rFonts w:ascii="Calibri" w:hAnsi="Calibri"/>
          <w:b w:val="0"/>
          <w:i w:val="0"/>
          <w:color w:val="1F1F1F"/>
          <w:sz w:val="22"/>
        </w:rPr>
        <w:t>Whether post-opening performance feeds back into future evaluations</w:t>
      </w:r>
    </w:p>
    <w:tbl>
      <w:tblPr>
        <w:tblW w:type="dxa" w:w="9360"/>
        <w:jc w:val="left"/>
        <w:tblLayout w:type="fixed"/>
        <w:tblLook w:firstColumn="1" w:firstRow="1" w:lastColumn="0" w:lastRow="0" w:noHBand="0" w:noVBand="1" w:val="04A0"/>
        <w:tblInd w:w="120"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9360"/>
      </w:tblGrid>
      <w:tr>
        <w:tc>
          <w:tcPr>
            <w:tcW w:type="dxa" w:w="9360"/>
            <w:shd w:fill="EAF2F8"/>
            <w:tcMar>
              <w:top w:w="80" w:type="dxa"/>
              <w:start w:w="140" w:type="dxa"/>
              <w:bottom w:w="80" w:type="dxa"/>
              <w:end w:w="140" w:type="dxa"/>
            </w:tcMar>
            <w:vAlign w:val="top"/>
          </w:tcPr>
          <w:p>
            <w:pPr>
              <w:spacing w:after="60" w:line="264" w:lineRule="auto"/>
            </w:pPr>
            <w:r>
              <w:rPr>
                <w:rFonts w:ascii="Calibri" w:hAnsi="Calibri"/>
                <w:b/>
                <w:i w:val="0"/>
                <w:color w:val="1F4D78"/>
                <w:sz w:val="20"/>
              </w:rPr>
              <w:t>Response or link:</w:t>
            </w:r>
          </w:p>
          <w:p>
            <w:pPr>
              <w:spacing w:after="0" w:line="168" w:lineRule="auto"/>
            </w:pPr>
            <w:r>
              <w:rPr>
                <w:rFonts w:ascii="Calibri" w:hAnsi="Calibri"/>
                <w:b w:val="0"/>
                <w:i w:val="0"/>
                <w:color w:val="1F1F1F"/>
                <w:sz w:val="14"/>
              </w:rPr>
              <w:t xml:space="preserve"> </w:t>
            </w:r>
          </w:p>
        </w:tc>
      </w:tr>
    </w:tbl>
    <w:p>
      <w:pPr>
        <w:spacing w:after="60"/>
      </w:pPr>
    </w:p>
    <w:p>
      <w:pPr>
        <w:pStyle w:val="Heading2"/>
        <w:keepNext/>
        <w:pageBreakBefore w:val="0"/>
      </w:pPr>
      <w:r>
        <w:rPr>
          <w:rFonts w:ascii="Calibri" w:hAnsi="Calibri"/>
          <w:b/>
          <w:i w:val="0"/>
          <w:color w:val="2E74B5"/>
          <w:sz w:val="26"/>
        </w:rPr>
        <w:t>9. Existing work and potential overlap</w:t>
      </w:r>
    </w:p>
    <w:p>
      <w:pPr>
        <w:keepNext/>
        <w:keepLines/>
        <w:spacing w:before="0" w:after="80" w:line="264" w:lineRule="auto"/>
      </w:pPr>
      <w:r>
        <w:rPr>
          <w:rFonts w:ascii="Calibri" w:hAnsi="Calibri"/>
          <w:b w:val="0"/>
          <w:i w:val="0"/>
          <w:color w:val="1F1F1F"/>
          <w:sz w:val="22"/>
        </w:rPr>
        <w:t>Is the June 2026 "Vet Clinic Site Selection" analytics plan currently active, staffed, or implemented?</w:t>
      </w:r>
    </w:p>
    <w:p>
      <w:pPr>
        <w:keepNext/>
        <w:keepLines/>
        <w:spacing w:before="0" w:after="40" w:line="264" w:lineRule="auto"/>
      </w:pPr>
      <w:r>
        <w:rPr>
          <w:rFonts w:ascii="Calibri" w:hAnsi="Calibri"/>
          <w:b/>
          <w:i w:val="0"/>
          <w:color w:val="1F1F1F"/>
          <w:sz w:val="22"/>
        </w:rPr>
        <w:t>Helpful details:</w:t>
      </w:r>
    </w:p>
    <w:p>
      <w:pPr>
        <w:numPr>
          <w:ilvl w:val="0"/>
          <w:numId w:val="10"/>
        </w:numPr>
        <w:spacing w:before="0" w:after="80" w:line="280" w:lineRule="auto"/>
        <w:ind w:left="720" w:hanging="360"/>
      </w:pPr>
      <w:r>
        <w:rPr>
          <w:rFonts w:ascii="Calibri" w:hAnsi="Calibri"/>
          <w:b w:val="0"/>
          <w:i w:val="0"/>
          <w:color w:val="1F1F1F"/>
          <w:sz w:val="22"/>
        </w:rPr>
        <w:t>Current owner and status</w:t>
      </w:r>
    </w:p>
    <w:p>
      <w:pPr>
        <w:numPr>
          <w:ilvl w:val="0"/>
          <w:numId w:val="10"/>
        </w:numPr>
        <w:spacing w:before="0" w:after="80" w:line="280" w:lineRule="auto"/>
        <w:ind w:left="720" w:hanging="360"/>
      </w:pPr>
      <w:r>
        <w:rPr>
          <w:rFonts w:ascii="Calibri" w:hAnsi="Calibri"/>
          <w:b w:val="0"/>
          <w:i w:val="0"/>
          <w:color w:val="1F1F1F"/>
          <w:sz w:val="22"/>
        </w:rPr>
        <w:t>Whether historical site features and outcomes have been assembled</w:t>
      </w:r>
    </w:p>
    <w:p>
      <w:pPr>
        <w:numPr>
          <w:ilvl w:val="0"/>
          <w:numId w:val="10"/>
        </w:numPr>
        <w:spacing w:before="0" w:after="80" w:line="280" w:lineRule="auto"/>
        <w:ind w:left="720" w:hanging="360"/>
      </w:pPr>
      <w:r>
        <w:rPr>
          <w:rFonts w:ascii="Calibri" w:hAnsi="Calibri"/>
          <w:b w:val="0"/>
          <w:i w:val="0"/>
          <w:color w:val="1F1F1F"/>
          <w:sz w:val="22"/>
        </w:rPr>
        <w:t>Whether a performance outcome, model, ranking method, or interface already exists</w:t>
      </w:r>
    </w:p>
    <w:p>
      <w:pPr>
        <w:numPr>
          <w:ilvl w:val="0"/>
          <w:numId w:val="10"/>
        </w:numPr>
        <w:spacing w:before="0" w:after="80" w:line="280" w:lineRule="auto"/>
        <w:ind w:left="720" w:hanging="360"/>
      </w:pPr>
      <w:r>
        <w:rPr>
          <w:rFonts w:ascii="Calibri" w:hAnsi="Calibri"/>
          <w:b w:val="0"/>
          <w:i w:val="0"/>
          <w:color w:val="1F1F1F"/>
          <w:sz w:val="22"/>
        </w:rPr>
        <w:t>Where this prototype would complement or duplicate existing work</w:t>
      </w:r>
    </w:p>
    <w:tbl>
      <w:tblPr>
        <w:tblW w:type="dxa" w:w="9360"/>
        <w:jc w:val="left"/>
        <w:tblLayout w:type="fixed"/>
        <w:tblLook w:firstColumn="1" w:firstRow="1" w:lastColumn="0" w:lastRow="0" w:noHBand="0" w:noVBand="1" w:val="04A0"/>
        <w:tblInd w:w="120"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9360"/>
      </w:tblGrid>
      <w:tr>
        <w:tc>
          <w:tcPr>
            <w:tcW w:type="dxa" w:w="9360"/>
            <w:shd w:fill="EAF2F8"/>
            <w:tcMar>
              <w:top w:w="80" w:type="dxa"/>
              <w:start w:w="140" w:type="dxa"/>
              <w:bottom w:w="80" w:type="dxa"/>
              <w:end w:w="140" w:type="dxa"/>
            </w:tcMar>
            <w:vAlign w:val="top"/>
          </w:tcPr>
          <w:p>
            <w:pPr>
              <w:spacing w:after="60" w:line="264" w:lineRule="auto"/>
            </w:pPr>
            <w:r>
              <w:rPr>
                <w:rFonts w:ascii="Calibri" w:hAnsi="Calibri"/>
                <w:b/>
                <w:i w:val="0"/>
                <w:color w:val="1F4D78"/>
                <w:sz w:val="20"/>
              </w:rPr>
              <w:t>Response or link:</w:t>
            </w:r>
          </w:p>
          <w:p>
            <w:pPr>
              <w:spacing w:after="0" w:line="168" w:lineRule="auto"/>
            </w:pPr>
            <w:r>
              <w:rPr>
                <w:rFonts w:ascii="Calibri" w:hAnsi="Calibri"/>
                <w:b w:val="0"/>
                <w:i w:val="0"/>
                <w:color w:val="1F1F1F"/>
                <w:sz w:val="14"/>
              </w:rPr>
              <w:t xml:space="preserve"> </w:t>
            </w:r>
          </w:p>
        </w:tc>
      </w:tr>
    </w:tbl>
    <w:p>
      <w:pPr>
        <w:spacing w:after="60"/>
      </w:pPr>
    </w:p>
    <w:p>
      <w:pPr>
        <w:pStyle w:val="Heading2"/>
        <w:keepNext/>
        <w:pageBreakBefore/>
      </w:pPr>
      <w:r>
        <w:rPr>
          <w:rFonts w:ascii="Calibri" w:hAnsi="Calibri"/>
          <w:b/>
          <w:i w:val="0"/>
          <w:color w:val="2E74B5"/>
          <w:sz w:val="26"/>
        </w:rPr>
        <w:t>10. Most useful small project</w:t>
      </w:r>
    </w:p>
    <w:p>
      <w:pPr>
        <w:keepNext/>
        <w:keepLines/>
        <w:spacing w:before="0" w:after="80" w:line="264" w:lineRule="auto"/>
      </w:pPr>
      <w:r>
        <w:rPr>
          <w:rFonts w:ascii="Calibri" w:hAnsi="Calibri"/>
          <w:b w:val="0"/>
          <w:i w:val="0"/>
          <w:color w:val="1F1F1F"/>
          <w:sz w:val="22"/>
        </w:rPr>
        <w:t>If we had three to four weeks to test one improvement, which outcome would be most valuable?</w:t>
      </w:r>
    </w:p>
    <w:p>
      <w:pPr>
        <w:keepNext/>
        <w:keepLines/>
        <w:spacing w:before="0" w:after="40" w:line="264" w:lineRule="auto"/>
      </w:pPr>
      <w:r>
        <w:rPr>
          <w:rFonts w:ascii="Calibri" w:hAnsi="Calibri"/>
          <w:b/>
          <w:i w:val="0"/>
          <w:color w:val="1F1F1F"/>
          <w:sz w:val="22"/>
        </w:rPr>
        <w:t>Helpful details:</w:t>
      </w:r>
    </w:p>
    <w:p>
      <w:pPr>
        <w:numPr>
          <w:ilvl w:val="0"/>
          <w:numId w:val="10"/>
        </w:numPr>
        <w:spacing w:before="0" w:after="80" w:line="280" w:lineRule="auto"/>
        <w:ind w:left="720" w:hanging="360"/>
      </w:pPr>
      <w:r>
        <w:rPr>
          <w:rFonts w:ascii="Calibri" w:hAnsi="Calibri"/>
          <w:b w:val="0"/>
          <w:i w:val="0"/>
          <w:color w:val="1F1F1F"/>
          <w:sz w:val="22"/>
        </w:rPr>
        <w:t>Less analyst preparation time or faster review-ready evaluations</w:t>
      </w:r>
    </w:p>
    <w:p>
      <w:pPr>
        <w:numPr>
          <w:ilvl w:val="0"/>
          <w:numId w:val="10"/>
        </w:numPr>
        <w:spacing w:before="0" w:after="80" w:line="280" w:lineRule="auto"/>
        <w:ind w:left="720" w:hanging="360"/>
      </w:pPr>
      <w:r>
        <w:rPr>
          <w:rFonts w:ascii="Calibri" w:hAnsi="Calibri"/>
          <w:b w:val="0"/>
          <w:i w:val="0"/>
          <w:color w:val="1F1F1F"/>
          <w:sz w:val="22"/>
        </w:rPr>
        <w:t>Earlier identification of nonviable locations or fewer unnecessary visits</w:t>
      </w:r>
    </w:p>
    <w:p>
      <w:pPr>
        <w:numPr>
          <w:ilvl w:val="0"/>
          <w:numId w:val="10"/>
        </w:numPr>
        <w:spacing w:before="0" w:after="80" w:line="280" w:lineRule="auto"/>
        <w:ind w:left="720" w:hanging="360"/>
      </w:pPr>
      <w:r>
        <w:rPr>
          <w:rFonts w:ascii="Calibri" w:hAnsi="Calibri"/>
          <w:b w:val="0"/>
          <w:i w:val="0"/>
          <w:color w:val="1F1F1F"/>
          <w:sz w:val="22"/>
        </w:rPr>
        <w:t>More consistent criteria, clearer missing information, or stronger decision history</w:t>
      </w:r>
    </w:p>
    <w:p>
      <w:pPr>
        <w:numPr>
          <w:ilvl w:val="0"/>
          <w:numId w:val="10"/>
        </w:numPr>
        <w:spacing w:before="0" w:after="80" w:line="280" w:lineRule="auto"/>
        <w:ind w:left="720" w:hanging="360"/>
      </w:pPr>
      <w:r>
        <w:rPr>
          <w:rFonts w:ascii="Calibri" w:hAnsi="Calibri"/>
          <w:b w:val="0"/>
          <w:i w:val="0"/>
          <w:color w:val="1F1F1F"/>
          <w:sz w:val="22"/>
        </w:rPr>
        <w:t>What would make the prototype clearly useful, and what would prove we are solving the wrong problem</w:t>
      </w:r>
    </w:p>
    <w:tbl>
      <w:tblPr>
        <w:tblW w:type="dxa" w:w="9360"/>
        <w:jc w:val="left"/>
        <w:tblLayout w:type="fixed"/>
        <w:tblLook w:firstColumn="1" w:firstRow="1" w:lastColumn="0" w:lastRow="0" w:noHBand="0" w:noVBand="1" w:val="04A0"/>
        <w:tblInd w:w="120"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9360"/>
      </w:tblGrid>
      <w:tr>
        <w:tc>
          <w:tcPr>
            <w:tcW w:type="dxa" w:w="9360"/>
            <w:shd w:fill="EAF2F8"/>
            <w:tcMar>
              <w:top w:w="80" w:type="dxa"/>
              <w:start w:w="140" w:type="dxa"/>
              <w:bottom w:w="80" w:type="dxa"/>
              <w:end w:w="140" w:type="dxa"/>
            </w:tcMar>
            <w:vAlign w:val="top"/>
          </w:tcPr>
          <w:p>
            <w:pPr>
              <w:spacing w:after="60" w:line="264" w:lineRule="auto"/>
            </w:pPr>
            <w:r>
              <w:rPr>
                <w:rFonts w:ascii="Calibri" w:hAnsi="Calibri"/>
                <w:b/>
                <w:i w:val="0"/>
                <w:color w:val="1F4D78"/>
                <w:sz w:val="20"/>
              </w:rPr>
              <w:t>Response or link:</w:t>
            </w:r>
          </w:p>
          <w:p>
            <w:pPr>
              <w:spacing w:after="0" w:line="168" w:lineRule="auto"/>
            </w:pPr>
            <w:r>
              <w:rPr>
                <w:rFonts w:ascii="Calibri" w:hAnsi="Calibri"/>
                <w:b w:val="0"/>
                <w:i w:val="0"/>
                <w:color w:val="1F1F1F"/>
                <w:sz w:val="14"/>
              </w:rPr>
              <w:t xml:space="preserve"> </w:t>
            </w:r>
          </w:p>
        </w:tc>
      </w:tr>
    </w:tbl>
    <w:p>
      <w:pPr>
        <w:spacing w:after="60"/>
      </w:pPr>
    </w:p>
    <w:p>
      <w:pPr>
        <w:pStyle w:val="Heading1"/>
      </w:pPr>
      <w:r>
        <w:rPr>
          <w:rFonts w:ascii="Calibri" w:hAnsi="Calibri"/>
          <w:b/>
          <w:i w:val="0"/>
          <w:color w:val="2E74B5"/>
          <w:sz w:val="32"/>
        </w:rPr>
        <w:t>Optional supporting materials</w:t>
      </w:r>
    </w:p>
    <w:p>
      <w:pPr>
        <w:keepLines w:val="0"/>
        <w:spacing w:before="0" w:after="120" w:line="264" w:lineRule="auto"/>
      </w:pPr>
      <w:r>
        <w:rPr>
          <w:rFonts w:ascii="Calibri" w:hAnsi="Calibri"/>
          <w:b w:val="0"/>
          <w:i w:val="0"/>
          <w:color w:val="1F1F1F"/>
          <w:sz w:val="22"/>
        </w:rPr>
        <w:t>If available and appropriate to share, any of the following would help us understand the workflow. De-identified or blank examples are sufficient.</w:t>
      </w:r>
    </w:p>
    <w:p>
      <w:pPr>
        <w:numPr>
          <w:ilvl w:val="0"/>
          <w:numId w:val="10"/>
        </w:numPr>
        <w:spacing w:before="0" w:after="80" w:line="280" w:lineRule="auto"/>
        <w:ind w:left="720" w:hanging="360"/>
      </w:pPr>
      <w:r>
        <w:rPr>
          <w:rFonts w:ascii="Calibri" w:hAnsi="Calibri"/>
          <w:b w:val="0"/>
          <w:i w:val="0"/>
          <w:color w:val="1F1F1F"/>
          <w:sz w:val="22"/>
        </w:rPr>
        <w:t>Current process map or blank evaluation template</w:t>
      </w:r>
    </w:p>
    <w:p>
      <w:pPr>
        <w:numPr>
          <w:ilvl w:val="0"/>
          <w:numId w:val="10"/>
        </w:numPr>
        <w:spacing w:before="0" w:after="80" w:line="280" w:lineRule="auto"/>
        <w:ind w:left="720" w:hanging="360"/>
      </w:pPr>
      <w:r>
        <w:rPr>
          <w:rFonts w:ascii="Calibri" w:hAnsi="Calibri"/>
          <w:b w:val="0"/>
          <w:i w:val="0"/>
          <w:color w:val="1F1F1F"/>
          <w:sz w:val="22"/>
        </w:rPr>
        <w:t>Criteria, thresholds, weights, or stage definitions</w:t>
      </w:r>
    </w:p>
    <w:p>
      <w:pPr>
        <w:numPr>
          <w:ilvl w:val="0"/>
          <w:numId w:val="10"/>
        </w:numPr>
        <w:spacing w:before="0" w:after="80" w:line="280" w:lineRule="auto"/>
        <w:ind w:left="720" w:hanging="360"/>
      </w:pPr>
      <w:r>
        <w:rPr>
          <w:rFonts w:ascii="Calibri" w:hAnsi="Calibri"/>
          <w:b w:val="0"/>
          <w:i w:val="0"/>
          <w:color w:val="1F1F1F"/>
          <w:sz w:val="22"/>
        </w:rPr>
        <w:t>Candidate funnel summary or rejection-reason taxonomy</w:t>
      </w:r>
    </w:p>
    <w:p>
      <w:pPr>
        <w:numPr>
          <w:ilvl w:val="0"/>
          <w:numId w:val="10"/>
        </w:numPr>
        <w:spacing w:before="0" w:after="80" w:line="280" w:lineRule="auto"/>
        <w:ind w:left="720" w:hanging="360"/>
      </w:pPr>
      <w:r>
        <w:rPr>
          <w:rFonts w:ascii="Calibri" w:hAnsi="Calibri"/>
          <w:b w:val="0"/>
          <w:i w:val="0"/>
          <w:color w:val="1F1F1F"/>
          <w:sz w:val="22"/>
        </w:rPr>
        <w:t>Example Esri output or other decision-support artifact</w:t>
      </w:r>
    </w:p>
    <w:p>
      <w:pPr>
        <w:numPr>
          <w:ilvl w:val="0"/>
          <w:numId w:val="10"/>
        </w:numPr>
        <w:spacing w:before="0" w:after="80" w:line="280" w:lineRule="auto"/>
        <w:ind w:left="720" w:hanging="360"/>
      </w:pPr>
      <w:r>
        <w:rPr>
          <w:rFonts w:ascii="Calibri" w:hAnsi="Calibri"/>
          <w:b w:val="0"/>
          <w:i w:val="0"/>
          <w:color w:val="1F1F1F"/>
          <w:sz w:val="22"/>
        </w:rPr>
        <w:t>Historical site features and maturity-adjusted outcomes</w:t>
      </w:r>
    </w:p>
    <w:p>
      <w:pPr>
        <w:numPr>
          <w:ilvl w:val="0"/>
          <w:numId w:val="10"/>
        </w:numPr>
        <w:spacing w:before="0" w:after="80" w:line="280" w:lineRule="auto"/>
        <w:ind w:left="720" w:hanging="360"/>
      </w:pPr>
      <w:r>
        <w:rPr>
          <w:rFonts w:ascii="Calibri" w:hAnsi="Calibri"/>
          <w:b w:val="0"/>
          <w:i w:val="0"/>
          <w:color w:val="1F1F1F"/>
          <w:sz w:val="22"/>
        </w:rPr>
        <w:t>Existing model, ranking, or project documentation</w:t>
      </w:r>
    </w:p>
    <w:tbl>
      <w:tblPr>
        <w:tblW w:type="dxa" w:w="9360"/>
        <w:jc w:val="left"/>
        <w:tblLayout w:type="fixed"/>
        <w:tblLook w:firstColumn="1" w:firstRow="1" w:lastColumn="0" w:lastRow="0" w:noHBand="0" w:noVBand="1" w:val="04A0"/>
        <w:tblInd w:w="120"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9360"/>
      </w:tblGrid>
      <w:tr>
        <w:tc>
          <w:tcPr>
            <w:tcW w:type="dxa" w:w="9360"/>
            <w:shd w:fill="EAF2F8"/>
            <w:tcMar>
              <w:top w:w="80" w:type="dxa"/>
              <w:start w:w="140" w:type="dxa"/>
              <w:bottom w:w="80" w:type="dxa"/>
              <w:end w:w="140" w:type="dxa"/>
            </w:tcMar>
            <w:vAlign w:val="top"/>
          </w:tcPr>
          <w:p>
            <w:pPr>
              <w:spacing w:after="60" w:line="264" w:lineRule="auto"/>
            </w:pPr>
            <w:r>
              <w:rPr>
                <w:rFonts w:ascii="Calibri" w:hAnsi="Calibri"/>
                <w:b/>
                <w:i w:val="0"/>
                <w:color w:val="1F4D78"/>
                <w:sz w:val="20"/>
              </w:rPr>
              <w:t>Available material, link, or appropriate owner:</w:t>
            </w:r>
          </w:p>
          <w:p>
            <w:pPr>
              <w:spacing w:after="0" w:line="168" w:lineRule="auto"/>
            </w:pPr>
            <w:r>
              <w:rPr>
                <w:rFonts w:ascii="Calibri" w:hAnsi="Calibri"/>
                <w:b w:val="0"/>
                <w:i w:val="0"/>
                <w:color w:val="1F1F1F"/>
                <w:sz w:val="14"/>
              </w:rPr>
              <w:t xml:space="preserve"> </w:t>
            </w:r>
          </w:p>
        </w:tc>
      </w:tr>
    </w:tbl>
    <w:p>
      <w:pPr>
        <w:spacing w:after="60"/>
      </w:pPr>
    </w:p>
    <w:p>
      <w:pPr>
        <w:spacing w:before="240" w:after="0"/>
      </w:pPr>
      <w:r>
        <w:rPr>
          <w:rFonts w:ascii="Calibri" w:hAnsi="Calibri"/>
          <w:b w:val="0"/>
          <w:i/>
          <w:color w:val="666666"/>
          <w:sz w:val="21"/>
        </w:rPr>
        <w:t>Thank you. Our desired outcome is a corrected process map, one measurable gap, the right owner and source, and a realistic decision on whether to proceed.</w:t>
      </w:r>
    </w:p>
    <w:sectPr w:rsidR="00FC693F" w:rsidRPr="0006063C" w:rsidSect="00034616">
      <w:headerReference w:type="default" r:id="rId9"/>
      <w:footerReference w:type="default" r:id="rId10"/>
      <w:pgSz w:w="12240" w:h="15840"/>
      <w:pgMar w:top="1080" w:right="1440" w:bottom="108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b w:val="0"/>
        <w:i w:val="0"/>
        <w:color w:val="666666"/>
        <w:sz w:val="18"/>
      </w:rPr>
      <w:t xml:space="preserve">Page </w:t>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i w:val="0"/>
        <w:color w:val="666666"/>
        <w:sz w:val="17"/>
      </w:rPr>
      <w:t>CHEWY VET CARE  |  LOCATION EVALUATION DISCOVERY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nsid w:val="55AA77CC"/>
    <w:multiLevelType w:val="singleLevel"/>
    <w:lvl w:ilvl="0">
      <w:start w:val="1"/>
      <w:numFmt w:val="bullet"/>
      <w:lvlText w:val="•"/>
      <w:lvlJc w:val="left"/>
      <w:pPr>
        <w:tabs>
          <w:tab w:val="num" w:pos="720"/>
        </w:tabs>
        <w:ind w:left="720" w:hanging="360"/>
        <w:spacing w:after="80" w:line="280" w:lineRule="auto"/>
      </w:pPr>
      <w:rPr>
        <w:rFonts w:ascii="Arial" w:hAnsi="Arial"/>
      </w:r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0"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Chewy Vet Care Location Evaluation Discovery</dc:title>
  <dc:subject>Discovery questionnaire for Ralph Torres</dc:subject>
  <dc:creator>Nik Nair</dc:creator>
  <cp:keywords>Chewy Vet Care, real estate, location evaluation, discovery</cp:keywords>
  <dc:description>generated by python-docx</dc:description>
  <cp:lastModifiedBy/>
  <cp:revision>1</cp:revision>
  <dcterms:created xsi:type="dcterms:W3CDTF">2013-12-23T23:15:00Z</dcterms:created>
  <dcterms:modified xsi:type="dcterms:W3CDTF">2013-12-23T23:15:00Z</dcterms:modified>
  <cp:category/>
</cp:coreProperties>
</file>