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168"/>
      </w:tblGrid>
      <w:tr>
        <w:tc>
          <w:tcPr>
            <w:tcW w:type="dxa" w:w="5112"/>
            <w:shd w:fill="006491"/>
            <w:tcMar>
              <w:top w:w="100" w:type="dxa"/>
              <w:start w:w="0" w:type="dxa"/>
              <w:bottom w:w="100" w:type="dxa"/>
              <w:end w:w="0" w:type="dxa"/>
            </w:tcMar>
          </w:tcPr>
          <w:p/>
        </w:tc>
        <w:tc>
          <w:tcPr>
            <w:tcW w:type="dxa" w:w="5112"/>
            <w:shd w:fill="E31837"/>
            <w:tcMar>
              <w:top w:w="100" w:type="dxa"/>
              <w:start w:w="0" w:type="dxa"/>
              <w:bottom w:w="100" w:type="dxa"/>
              <w:end w:w="0" w:type="dxa"/>
            </w:tcMar>
          </w:tcPr>
          <w:p/>
        </w:tc>
      </w:tr>
    </w:tbl>
    <w:p>
      <w:pPr>
        <w:spacing w:after="680"/>
      </w:pPr>
    </w:p>
    <w:p>
      <w:pPr>
        <w:spacing w:before="0" w:after="80" w:line="259" w:lineRule="auto"/>
      </w:pPr>
      <w:r>
        <w:rPr>
          <w:rFonts w:ascii="Liberation Sans" w:hAnsi="Liberation Sans"/>
          <w:b/>
          <w:color w:val="E31837"/>
          <w:sz w:val="30"/>
        </w:rPr>
        <w:t>DOMINO'S PIZZA</w:t>
      </w:r>
    </w:p>
    <w:p>
      <w:pPr>
        <w:spacing w:before="0" w:after="200" w:line="259" w:lineRule="auto"/>
      </w:pPr>
      <w:r>
        <w:rPr>
          <w:rFonts w:ascii="Liberation Sans" w:hAnsi="Liberation Sans"/>
          <w:b/>
          <w:color w:val="006491"/>
          <w:sz w:val="56"/>
        </w:rPr>
        <w:t>SENTIMENT, EMOTION</w:t>
        <w:br/>
        <w:t>&amp; BRAND PERCEPTION</w:t>
        <w:br/>
        <w:t>ANALYSIS REPORT</w:t>
      </w:r>
    </w:p>
    <w:p>
      <w:pPr>
        <w:spacing w:before="0" w:after="480" w:line="259" w:lineRule="auto"/>
      </w:pPr>
      <w:r>
        <w:rPr>
          <w:rFonts w:ascii="Liberation Sans" w:hAnsi="Liberation Sans"/>
          <w:i/>
          <w:color w:val="6B7280"/>
          <w:sz w:val="25"/>
        </w:rPr>
        <w:t>What customers are saying, how they feel, why they feel that way, and what the company should do about it.</w:t>
      </w:r>
    </w:p>
    <w:tbl>
      <w:tblPr>
        <w:tblW w:type="auto" w:w="0"/>
        <w:jc w:val="left"/>
        <w:tblLayout w:type="fixed"/>
        <w:tblLook w:firstColumn="1" w:firstRow="1" w:lastColumn="0" w:lastRow="0" w:noHBand="0" w:noVBand="1" w:val="04A0"/>
      </w:tblPr>
      <w:tblGrid>
        <w:gridCol w:w="2376"/>
        <w:gridCol w:w="6768"/>
      </w:tblGrid>
      <w:tr>
        <w:tc>
          <w:tcPr>
            <w:tcW w:type="dxa" w:w="5112"/>
            <w:shd w:fill="EAF4F8"/>
            <w:tcMar>
              <w:top w:w="100" w:type="dxa"/>
              <w:start w:w="90" w:type="dxa"/>
              <w:bottom w:w="100" w:type="dxa"/>
              <w:end w:w="90" w:type="dxa"/>
            </w:tcMar>
            <w:tcBorders>
              <w:bottom w:val="single" w:sz="4" w:color="D1D5DB"/>
            </w:tcBorders>
          </w:tcPr>
          <w:p>
            <w:r>
              <w:rPr>
                <w:rFonts w:ascii="Liberation Sans" w:hAnsi="Liberation Sans"/>
                <w:b/>
                <w:color w:val="006491"/>
                <w:sz w:val="18"/>
              </w:rPr>
              <w:t>Brand Name</w:t>
            </w:r>
          </w:p>
        </w:tc>
        <w:tc>
          <w:tcPr>
            <w:tcW w:type="dxa" w:w="5112"/>
            <w:shd w:fill="FFFFFF"/>
            <w:tcMar>
              <w:top w:w="100" w:type="dxa"/>
              <w:start w:w="100" w:type="dxa"/>
              <w:bottom w:w="100" w:type="dxa"/>
              <w:end w:w="100" w:type="dxa"/>
            </w:tcMar>
            <w:tcBorders>
              <w:bottom w:val="single" w:sz="4" w:color="D1D5DB"/>
            </w:tcBorders>
          </w:tcPr>
          <w:p>
            <w:r>
              <w:rPr>
                <w:rFonts w:ascii="Liberation Sans" w:hAnsi="Liberation Sans"/>
                <w:color w:val="1F2937"/>
                <w:sz w:val="18"/>
              </w:rPr>
              <w:t>Domino's Pizza</w:t>
            </w:r>
          </w:p>
        </w:tc>
      </w:tr>
      <w:tr>
        <w:tc>
          <w:tcPr>
            <w:tcW w:type="dxa" w:w="5112"/>
            <w:shd w:fill="EAF4F8"/>
            <w:tcMar>
              <w:top w:w="100" w:type="dxa"/>
              <w:start w:w="90" w:type="dxa"/>
              <w:bottom w:w="100" w:type="dxa"/>
              <w:end w:w="90" w:type="dxa"/>
            </w:tcMar>
            <w:tcBorders>
              <w:bottom w:val="single" w:sz="4" w:color="D1D5DB"/>
            </w:tcBorders>
          </w:tcPr>
          <w:p>
            <w:r>
              <w:rPr>
                <w:rFonts w:ascii="Liberation Sans" w:hAnsi="Liberation Sans"/>
                <w:b/>
                <w:color w:val="006491"/>
                <w:sz w:val="18"/>
              </w:rPr>
              <w:t>Report Title</w:t>
            </w:r>
          </w:p>
        </w:tc>
        <w:tc>
          <w:tcPr>
            <w:tcW w:type="dxa" w:w="5112"/>
            <w:shd w:fill="FFFFFF"/>
            <w:tcMar>
              <w:top w:w="100" w:type="dxa"/>
              <w:start w:w="100" w:type="dxa"/>
              <w:bottom w:w="100" w:type="dxa"/>
              <w:end w:w="100" w:type="dxa"/>
            </w:tcMar>
            <w:tcBorders>
              <w:bottom w:val="single" w:sz="4" w:color="D1D5DB"/>
            </w:tcBorders>
          </w:tcPr>
          <w:p>
            <w:r>
              <w:rPr>
                <w:rFonts w:ascii="Liberation Sans" w:hAnsi="Liberation Sans"/>
                <w:color w:val="1F2937"/>
                <w:sz w:val="18"/>
              </w:rPr>
              <w:t>Sentiment, Emotion and Brand Perception Analysis</w:t>
            </w:r>
          </w:p>
        </w:tc>
      </w:tr>
      <w:tr>
        <w:tc>
          <w:tcPr>
            <w:tcW w:type="dxa" w:w="5112"/>
            <w:shd w:fill="EAF4F8"/>
            <w:tcMar>
              <w:top w:w="100" w:type="dxa"/>
              <w:start w:w="90" w:type="dxa"/>
              <w:bottom w:w="100" w:type="dxa"/>
              <w:end w:w="90" w:type="dxa"/>
            </w:tcMar>
            <w:tcBorders>
              <w:bottom w:val="single" w:sz="4" w:color="D1D5DB"/>
            </w:tcBorders>
          </w:tcPr>
          <w:p>
            <w:r>
              <w:rPr>
                <w:rFonts w:ascii="Liberation Sans" w:hAnsi="Liberation Sans"/>
                <w:b/>
                <w:color w:val="006491"/>
                <w:sz w:val="18"/>
              </w:rPr>
              <w:t>Period Covered</w:t>
            </w:r>
          </w:p>
        </w:tc>
        <w:tc>
          <w:tcPr>
            <w:tcW w:type="dxa" w:w="5112"/>
            <w:shd w:fill="FFFFFF"/>
            <w:tcMar>
              <w:top w:w="100" w:type="dxa"/>
              <w:start w:w="100" w:type="dxa"/>
              <w:bottom w:w="100" w:type="dxa"/>
              <w:end w:w="100" w:type="dxa"/>
            </w:tcMar>
            <w:tcBorders>
              <w:bottom w:val="single" w:sz="4" w:color="D1D5DB"/>
            </w:tcBorders>
          </w:tcPr>
          <w:p>
            <w:r>
              <w:rPr>
                <w:rFonts w:ascii="Liberation Sans" w:hAnsi="Liberation Sans"/>
                <w:color w:val="1F2937"/>
                <w:sz w:val="18"/>
              </w:rPr>
              <w:t>Reconstructed comment dates: 21 July 2020 - 20 July 2026; collection window: 21 July 2026, 10:00-20:00 WAT</w:t>
            </w:r>
          </w:p>
        </w:tc>
      </w:tr>
      <w:tr>
        <w:tc>
          <w:tcPr>
            <w:tcW w:type="dxa" w:w="5112"/>
            <w:shd w:fill="EAF4F8"/>
            <w:tcMar>
              <w:top w:w="100" w:type="dxa"/>
              <w:start w:w="90" w:type="dxa"/>
              <w:bottom w:w="100" w:type="dxa"/>
              <w:end w:w="90" w:type="dxa"/>
            </w:tcMar>
            <w:tcBorders>
              <w:bottom w:val="single" w:sz="4" w:color="D1D5DB"/>
            </w:tcBorders>
          </w:tcPr>
          <w:p>
            <w:r>
              <w:rPr>
                <w:rFonts w:ascii="Liberation Sans" w:hAnsi="Liberation Sans"/>
                <w:b/>
                <w:color w:val="006491"/>
                <w:sz w:val="18"/>
              </w:rPr>
              <w:t>Data Source</w:t>
            </w:r>
          </w:p>
        </w:tc>
        <w:tc>
          <w:tcPr>
            <w:tcW w:type="dxa" w:w="5112"/>
            <w:shd w:fill="FFFFFF"/>
            <w:tcMar>
              <w:top w:w="100" w:type="dxa"/>
              <w:start w:w="100" w:type="dxa"/>
              <w:bottom w:w="100" w:type="dxa"/>
              <w:end w:w="100" w:type="dxa"/>
            </w:tcMar>
            <w:tcBorders>
              <w:bottom w:val="single" w:sz="4" w:color="D1D5DB"/>
            </w:tcBorders>
          </w:tcPr>
          <w:p>
            <w:r>
              <w:rPr>
                <w:rFonts w:ascii="Liberation Sans" w:hAnsi="Liberation Sans"/>
                <w:color w:val="1F2937"/>
                <w:sz w:val="18"/>
              </w:rPr>
              <w:t>130 manually collected social-media records; 129 usable comments across YouTube, Instagram, TikTok, Facebook and X/Twitter</w:t>
            </w:r>
          </w:p>
        </w:tc>
      </w:tr>
      <w:tr>
        <w:tc>
          <w:tcPr>
            <w:tcW w:type="dxa" w:w="5112"/>
            <w:shd w:fill="EAF4F8"/>
            <w:tcMar>
              <w:top w:w="100" w:type="dxa"/>
              <w:start w:w="90" w:type="dxa"/>
              <w:bottom w:w="100" w:type="dxa"/>
              <w:end w:w="90" w:type="dxa"/>
            </w:tcMar>
            <w:tcBorders>
              <w:bottom w:val="single" w:sz="4" w:color="D1D5DB"/>
            </w:tcBorders>
          </w:tcPr>
          <w:p>
            <w:r>
              <w:rPr>
                <w:rFonts w:ascii="Liberation Sans" w:hAnsi="Liberation Sans"/>
                <w:b/>
                <w:color w:val="006491"/>
                <w:sz w:val="18"/>
              </w:rPr>
              <w:t>Analyst Name</w:t>
            </w:r>
          </w:p>
        </w:tc>
        <w:tc>
          <w:tcPr>
            <w:tcW w:type="dxa" w:w="5112"/>
            <w:shd w:fill="FFFFFF"/>
            <w:tcMar>
              <w:top w:w="100" w:type="dxa"/>
              <w:start w:w="100" w:type="dxa"/>
              <w:bottom w:w="100" w:type="dxa"/>
              <w:end w:w="100" w:type="dxa"/>
            </w:tcMar>
            <w:tcBorders>
              <w:bottom w:val="single" w:sz="4" w:color="D1D5DB"/>
            </w:tcBorders>
          </w:tcPr>
          <w:p>
            <w:r>
              <w:rPr>
                <w:rFonts w:ascii="Liberation Sans" w:hAnsi="Liberation Sans"/>
                <w:color w:val="1F2937"/>
                <w:sz w:val="18"/>
              </w:rPr>
              <w:t>Peter Nnamdi Ileh</w:t>
            </w:r>
          </w:p>
        </w:tc>
      </w:tr>
      <w:tr>
        <w:tc>
          <w:tcPr>
            <w:tcW w:type="dxa" w:w="5112"/>
            <w:shd w:fill="EAF4F8"/>
            <w:tcMar>
              <w:top w:w="100" w:type="dxa"/>
              <w:start w:w="90" w:type="dxa"/>
              <w:bottom w:w="100" w:type="dxa"/>
              <w:end w:w="90" w:type="dxa"/>
            </w:tcMar>
            <w:tcBorders>
              <w:bottom w:val="single" w:sz="4" w:color="D1D5DB"/>
            </w:tcBorders>
          </w:tcPr>
          <w:p>
            <w:r>
              <w:rPr>
                <w:rFonts w:ascii="Liberation Sans" w:hAnsi="Liberation Sans"/>
                <w:b/>
                <w:color w:val="006491"/>
                <w:sz w:val="18"/>
              </w:rPr>
              <w:t>Date</w:t>
            </w:r>
          </w:p>
        </w:tc>
        <w:tc>
          <w:tcPr>
            <w:tcW w:type="dxa" w:w="5112"/>
            <w:shd w:fill="FFFFFF"/>
            <w:tcMar>
              <w:top w:w="100" w:type="dxa"/>
              <w:start w:w="100" w:type="dxa"/>
              <w:bottom w:w="100" w:type="dxa"/>
              <w:end w:w="100" w:type="dxa"/>
            </w:tcMar>
            <w:tcBorders>
              <w:bottom w:val="single" w:sz="4" w:color="D1D5DB"/>
            </w:tcBorders>
          </w:tcPr>
          <w:p>
            <w:r>
              <w:rPr>
                <w:rFonts w:ascii="Liberation Sans" w:hAnsi="Liberation Sans"/>
                <w:color w:val="1F2937"/>
                <w:sz w:val="18"/>
              </w:rPr>
              <w:t>21 July 2026</w:t>
            </w:r>
          </w:p>
        </w:tc>
      </w:tr>
    </w:tbl>
    <w:p>
      <w:pPr>
        <w:spacing w:after="360"/>
      </w:pPr>
    </w:p>
    <w:tbl>
      <w:tblPr>
        <w:tblW w:type="auto" w:w="0"/>
        <w:jc w:val="center"/>
        <w:tblLayout w:type="fixed"/>
        <w:tblLook w:firstColumn="1" w:firstRow="1" w:lastColumn="0" w:lastRow="0" w:noHBand="0" w:noVBand="1" w:val="04A0"/>
      </w:tblPr>
      <w:tblGrid>
        <w:gridCol w:w="202"/>
        <w:gridCol w:w="9000"/>
      </w:tblGrid>
      <w:tr>
        <w:tc>
          <w:tcPr>
            <w:tcW w:type="dxa" w:w="5112"/>
            <w:shd w:fill="6B7280"/>
            <w:tcMar>
              <w:top w:w="60" w:type="dxa"/>
              <w:start w:w="0" w:type="dxa"/>
              <w:bottom w:w="60" w:type="dxa"/>
              <w:end w:w="0" w:type="dxa"/>
            </w:tcMar>
          </w:tcPr>
          <w:p/>
        </w:tc>
        <w:tc>
          <w:tcPr>
            <w:tcW w:type="dxa" w:w="5112"/>
            <w:shd w:fill="F3F4F6"/>
            <w:tcMar>
              <w:top w:w="120" w:type="dxa"/>
              <w:start w:w="150" w:type="dxa"/>
              <w:bottom w:w="120" w:type="dxa"/>
              <w:end w:w="150" w:type="dxa"/>
            </w:tcMar>
          </w:tcPr>
          <w:p>
            <w:pPr>
              <w:spacing w:before="0" w:after="40" w:line="259" w:lineRule="auto"/>
            </w:pPr>
            <w:r>
              <w:rPr>
                <w:rFonts w:ascii="Liberation Sans" w:hAnsi="Liberation Sans"/>
                <w:b/>
                <w:color w:val="6B7280"/>
                <w:sz w:val="21"/>
              </w:rPr>
              <w:t>REPORT STATUS</w:t>
            </w:r>
          </w:p>
          <w:p>
            <w:pPr>
              <w:spacing w:before="0" w:after="0" w:line="259" w:lineRule="auto"/>
            </w:pPr>
            <w:r>
              <w:rPr>
                <w:rFonts w:ascii="Liberation Sans" w:hAnsi="Liberation Sans"/>
                <w:color w:val="1F2937"/>
                <w:sz w:val="19"/>
              </w:rPr>
              <w:t>Executive-ready exploratory analysis. Because the sample is small and purposively collected, all findings should be interpreted as directional evidence rather than population-level measurement.</w:t>
            </w:r>
          </w:p>
        </w:tc>
      </w:tr>
    </w:tbl>
    <w:p>
      <w:pPr>
        <w:spacing w:after="20"/>
      </w:pPr>
    </w:p>
    <w:p>
      <w:pPr>
        <w:spacing w:before="360" w:after="0" w:line="259" w:lineRule="auto"/>
        <w:jc w:val="center"/>
      </w:pPr>
      <w:r>
        <w:rPr>
          <w:rFonts w:ascii="Liberation Sans" w:hAnsi="Liberation Sans"/>
          <w:b/>
          <w:color w:val="E31837"/>
          <w:sz w:val="18"/>
        </w:rPr>
        <w:t>CONFIDENTIAL - CLASS ACTIVITY</w:t>
      </w:r>
    </w:p>
    <w:p>
      <w:r>
        <w:br w:type="page"/>
      </w:r>
    </w:p>
    <w:p>
      <w:pPr>
        <w:pBdr>
          <w:bottom w:val="single" w:sz="9" w:space="1" w:color="E31837"/>
        </w:pBdr>
      </w:pPr>
      <w:r>
        <w:rPr>
          <w:rFonts w:ascii="Liberation Sans" w:hAnsi="Liberation Sans"/>
          <w:b/>
          <w:color w:val="006491"/>
          <w:sz w:val="44"/>
        </w:rPr>
        <w:t>REPORT CONTENTS</w:t>
      </w:r>
    </w:p>
    <w:tbl>
      <w:tblPr>
        <w:tblW w:type="auto" w:w="0"/>
        <w:jc w:val="center"/>
        <w:tblLayout w:type="fixed"/>
        <w:tblLook w:firstColumn="1" w:firstRow="1" w:lastColumn="0" w:lastRow="0" w:noHBand="0" w:noVBand="1" w:val="04A0"/>
      </w:tblPr>
      <w:tblGrid>
        <w:gridCol w:w="936"/>
        <w:gridCol w:w="3240"/>
        <w:gridCol w:w="5040"/>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Section</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Title</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Purpose</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2</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Executive Summary</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Decision-level findings and priority implications</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3</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Objectives</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Business questions answered</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4</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Dataset Overview</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Scope, cleaning, date reconstruction and limitations</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5</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Overall Sentiment Analysis</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Positive, negative, neutral and mixed distribution</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6</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Sentiment Trend Over Time</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Directional historical pattern using reconstructed dates</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7</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Emotion Analysis</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Positive and negative emotional drivers</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8</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Brand Perception Analysis</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How customers describe and experience the brand</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9</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Aspect-Based Sentiment Analysis</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Sentiment by taste, price, service, delivery and other aspects</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10</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Topic Analysis</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Recurring themes ranked by frequency</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11</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Entity Analysis</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Products, locations, people and competitors</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12</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Complaint Analysis</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Operational failure categories</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13</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Praise Analysis</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What delights customers</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14</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Opportunity Analysis</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Growth, recovery and competitive opportunities</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15</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Visualizations</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Word cloud and geographic mention map</w:t>
            </w:r>
          </w:p>
        </w:tc>
      </w:tr>
      <w:tr>
        <w:trPr>
          <w:cantSplit w:val="true"/>
        </w:trPr>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16</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Actionable Recommendations</w:t>
            </w:r>
          </w:p>
        </w:tc>
        <w:tc>
          <w:tcPr>
            <w:tcW w:type="dxa" w:w="50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Immediate, medium-term and long-term plan</w:t>
            </w:r>
          </w:p>
        </w:tc>
      </w:tr>
      <w:tr>
        <w:trPr>
          <w:cantSplit w:val="true"/>
        </w:trPr>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17</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Conclusion</w:t>
            </w:r>
          </w:p>
        </w:tc>
        <w:tc>
          <w:tcPr>
            <w:tcW w:type="dxa" w:w="50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Overall perception and expected business impact</w:t>
            </w:r>
          </w:p>
        </w:tc>
      </w:tr>
    </w:tbl>
    <w:tbl>
      <w:tblPr>
        <w:tblW w:type="auto" w:w="0"/>
        <w:jc w:val="center"/>
        <w:tblLayout w:type="fixed"/>
        <w:tblLook w:firstColumn="1" w:firstRow="1" w:lastColumn="0" w:lastRow="0" w:noHBand="0" w:noVBand="1" w:val="04A0"/>
      </w:tblPr>
      <w:tblGrid>
        <w:gridCol w:w="202"/>
        <w:gridCol w:w="9000"/>
      </w:tblGrid>
      <w:tr>
        <w:tc>
          <w:tcPr>
            <w:tcW w:type="dxa" w:w="5112"/>
            <w:shd w:fill="F59E0B"/>
            <w:tcMar>
              <w:top w:w="60" w:type="dxa"/>
              <w:start w:w="0" w:type="dxa"/>
              <w:bottom w:w="60" w:type="dxa"/>
              <w:end w:w="0" w:type="dxa"/>
            </w:tcMar>
          </w:tcPr>
          <w:p/>
        </w:tc>
        <w:tc>
          <w:tcPr>
            <w:tcW w:type="dxa" w:w="5112"/>
            <w:shd w:fill="FFF4E0"/>
            <w:tcMar>
              <w:top w:w="120" w:type="dxa"/>
              <w:start w:w="150" w:type="dxa"/>
              <w:bottom w:w="120" w:type="dxa"/>
              <w:end w:w="150" w:type="dxa"/>
            </w:tcMar>
          </w:tcPr>
          <w:p>
            <w:pPr>
              <w:spacing w:before="0" w:after="40" w:line="259" w:lineRule="auto"/>
            </w:pPr>
            <w:r>
              <w:rPr>
                <w:rFonts w:ascii="Liberation Sans" w:hAnsi="Liberation Sans"/>
                <w:b/>
                <w:color w:val="F59E0B"/>
                <w:sz w:val="21"/>
              </w:rPr>
              <w:t>HOW TO READ THE RESULTS</w:t>
            </w:r>
          </w:p>
          <w:p>
            <w:pPr>
              <w:spacing w:before="0" w:after="0" w:line="259" w:lineRule="auto"/>
            </w:pPr>
            <w:r>
              <w:rPr>
                <w:rFonts w:ascii="Liberation Sans" w:hAnsi="Liberation Sans"/>
                <w:color w:val="1F2937"/>
                <w:sz w:val="19"/>
              </w:rPr>
              <w:t>Percentages use 129 usable comments. Emotion, aspect, complaint, praise and topic coding is multi-label, so those percentages and counts can overlap and do not sum to 100%.</w:t>
            </w:r>
          </w:p>
        </w:tc>
      </w:tr>
    </w:tbl>
    <w:p>
      <w:pPr>
        <w:spacing w:after="20"/>
      </w:pPr>
    </w:p>
    <w:p>
      <w:r>
        <w:br w:type="page"/>
      </w:r>
    </w:p>
    <w:p>
      <w:pPr>
        <w:keepNext/>
        <w:spacing w:before="80" w:after="80" w:line="259" w:lineRule="auto"/>
        <w:pBdr>
          <w:bottom w:val="single" w:sz="10" w:space="1" w:color="006491"/>
        </w:pBdr>
      </w:pPr>
      <w:r>
        <w:rPr>
          <w:rFonts w:ascii="Liberation Sans" w:hAnsi="Liberation Sans"/>
          <w:b/>
          <w:color w:val="E31837"/>
          <w:sz w:val="38"/>
        </w:rPr>
        <w:t xml:space="preserve">2. </w:t>
      </w:r>
      <w:r>
        <w:rPr>
          <w:rFonts w:ascii="Liberation Sans" w:hAnsi="Liberation Sans"/>
          <w:b/>
          <w:color w:val="006491"/>
          <w:sz w:val="38"/>
        </w:rPr>
        <w:t>Executive Summary</w:t>
      </w:r>
    </w:p>
    <w:p>
      <w:pPr>
        <w:spacing w:before="0" w:after="200" w:line="259" w:lineRule="auto"/>
      </w:pPr>
      <w:r>
        <w:rPr>
          <w:rFonts w:ascii="Liberation Sans" w:hAnsi="Liberation Sans"/>
          <w:i/>
          <w:color w:val="6B7280"/>
          <w:sz w:val="20"/>
        </w:rPr>
        <w:t>A directional but decision-useful view of the customer experience represented in the supplied sample.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E31837"/>
            <w:tcMar>
              <w:top w:w="140" w:type="dxa"/>
              <w:start w:w="70" w:type="dxa"/>
              <w:bottom w:w="140" w:type="dxa"/>
              <w:end w:w="70" w:type="dxa"/>
            </w:tcMar>
            <w:vAlign w:val="center"/>
          </w:tcPr>
          <w:p>
            <w:pPr>
              <w:spacing w:before="0" w:after="40" w:line="259" w:lineRule="auto"/>
              <w:jc w:val="center"/>
            </w:pPr>
            <w:r>
              <w:rPr>
                <w:rFonts w:ascii="Liberation Sans" w:hAnsi="Liberation Sans"/>
                <w:b/>
                <w:color w:val="FFFFFF"/>
                <w:sz w:val="36"/>
              </w:rPr>
              <w:t>51.9%</w:t>
            </w:r>
          </w:p>
          <w:p>
            <w:pPr>
              <w:spacing w:before="0" w:after="0" w:line="259" w:lineRule="auto"/>
              <w:jc w:val="center"/>
            </w:pPr>
            <w:r>
              <w:rPr>
                <w:rFonts w:ascii="Liberation Sans" w:hAnsi="Liberation Sans"/>
                <w:b/>
                <w:color w:val="FFFFFF"/>
                <w:sz w:val="17"/>
              </w:rPr>
              <w:t>NEGATIVE</w:t>
            </w:r>
          </w:p>
        </w:tc>
        <w:tc>
          <w:tcPr>
            <w:tcW w:type="dxa" w:w="2556"/>
            <w:shd w:fill="16A34A"/>
            <w:tcMar>
              <w:top w:w="140" w:type="dxa"/>
              <w:start w:w="70" w:type="dxa"/>
              <w:bottom w:w="140" w:type="dxa"/>
              <w:end w:w="70" w:type="dxa"/>
            </w:tcMar>
            <w:vAlign w:val="center"/>
          </w:tcPr>
          <w:p>
            <w:pPr>
              <w:spacing w:before="0" w:after="40" w:line="259" w:lineRule="auto"/>
              <w:jc w:val="center"/>
            </w:pPr>
            <w:r>
              <w:rPr>
                <w:rFonts w:ascii="Liberation Sans" w:hAnsi="Liberation Sans"/>
                <w:b/>
                <w:color w:val="FFFFFF"/>
                <w:sz w:val="36"/>
              </w:rPr>
              <w:t>26.4%</w:t>
            </w:r>
          </w:p>
          <w:p>
            <w:pPr>
              <w:spacing w:before="0" w:after="0" w:line="259" w:lineRule="auto"/>
              <w:jc w:val="center"/>
            </w:pPr>
            <w:r>
              <w:rPr>
                <w:rFonts w:ascii="Liberation Sans" w:hAnsi="Liberation Sans"/>
                <w:b/>
                <w:color w:val="FFFFFF"/>
                <w:sz w:val="17"/>
              </w:rPr>
              <w:t>POSITIVE</w:t>
            </w:r>
          </w:p>
        </w:tc>
        <w:tc>
          <w:tcPr>
            <w:tcW w:type="dxa" w:w="2556"/>
            <w:shd w:fill="6B7280"/>
            <w:tcMar>
              <w:top w:w="140" w:type="dxa"/>
              <w:start w:w="70" w:type="dxa"/>
              <w:bottom w:w="140" w:type="dxa"/>
              <w:end w:w="70" w:type="dxa"/>
            </w:tcMar>
            <w:vAlign w:val="center"/>
          </w:tcPr>
          <w:p>
            <w:pPr>
              <w:spacing w:before="0" w:after="40" w:line="259" w:lineRule="auto"/>
              <w:jc w:val="center"/>
            </w:pPr>
            <w:r>
              <w:rPr>
                <w:rFonts w:ascii="Liberation Sans" w:hAnsi="Liberation Sans"/>
                <w:b/>
                <w:color w:val="FFFFFF"/>
                <w:sz w:val="36"/>
              </w:rPr>
              <w:t>13.2%</w:t>
            </w:r>
          </w:p>
          <w:p>
            <w:pPr>
              <w:spacing w:before="0" w:after="0" w:line="259" w:lineRule="auto"/>
              <w:jc w:val="center"/>
            </w:pPr>
            <w:r>
              <w:rPr>
                <w:rFonts w:ascii="Liberation Sans" w:hAnsi="Liberation Sans"/>
                <w:b/>
                <w:color w:val="FFFFFF"/>
                <w:sz w:val="17"/>
              </w:rPr>
              <w:t>NEUTRAL</w:t>
            </w:r>
          </w:p>
        </w:tc>
        <w:tc>
          <w:tcPr>
            <w:tcW w:type="dxa" w:w="2556"/>
            <w:shd w:fill="F59E0B"/>
            <w:tcMar>
              <w:top w:w="140" w:type="dxa"/>
              <w:start w:w="70" w:type="dxa"/>
              <w:bottom w:w="140" w:type="dxa"/>
              <w:end w:w="70" w:type="dxa"/>
            </w:tcMar>
            <w:vAlign w:val="center"/>
          </w:tcPr>
          <w:p>
            <w:pPr>
              <w:spacing w:before="0" w:after="40" w:line="259" w:lineRule="auto"/>
              <w:jc w:val="center"/>
            </w:pPr>
            <w:r>
              <w:rPr>
                <w:rFonts w:ascii="Liberation Sans" w:hAnsi="Liberation Sans"/>
                <w:b/>
                <w:color w:val="FFFFFF"/>
                <w:sz w:val="36"/>
              </w:rPr>
              <w:t>8.5%</w:t>
            </w:r>
          </w:p>
          <w:p>
            <w:pPr>
              <w:spacing w:before="0" w:after="0" w:line="259" w:lineRule="auto"/>
              <w:jc w:val="center"/>
            </w:pPr>
            <w:r>
              <w:rPr>
                <w:rFonts w:ascii="Liberation Sans" w:hAnsi="Liberation Sans"/>
                <w:b/>
                <w:color w:val="FFFFFF"/>
                <w:sz w:val="17"/>
              </w:rPr>
              <w:t>MIXED</w:t>
            </w:r>
          </w:p>
        </w:tc>
      </w:tr>
    </w:tbl>
    <w:p>
      <w:pPr>
        <w:spacing w:after="80"/>
      </w:pPr>
    </w:p>
    <w:p>
      <w:pPr>
        <w:spacing w:before="0" w:after="120" w:line="259" w:lineRule="auto"/>
      </w:pPr>
      <w:r>
        <w:rPr>
          <w:rFonts w:ascii="Liberation Sans" w:hAnsi="Liberation Sans"/>
          <w:color w:val="1F2937"/>
          <w:sz w:val="20"/>
        </w:rPr>
        <w:t>The sample presents a polarized Domino's brand. Customers continue to express strong love for specific pizzas, crusts, toppings, menu items and value deals. At the same time, the dominant operational story is inconsistency: customers report late or failed fulfilment, poor complaint handling, rude or unsafe staff behaviour, weak app and tracker performance, small portions, cold or poorly prepared food, and pricing that appears confusing or unfair.</w:t>
      </w:r>
    </w:p>
    <w:p>
      <w:pPr>
        <w:keepNext/>
        <w:spacing w:before="160" w:after="80" w:line="259" w:lineRule="auto"/>
      </w:pPr>
      <w:r>
        <w:rPr>
          <w:rFonts w:ascii="Liberation Sans" w:hAnsi="Liberation Sans"/>
          <w:b/>
          <w:color w:val="006491"/>
          <w:sz w:val="24"/>
        </w:rPr>
        <w:t>Executive answer to the fundamental question</w:t>
      </w:r>
    </w:p>
    <w:tbl>
      <w:tblPr>
        <w:tblW w:type="auto" w:w="0"/>
        <w:jc w:val="center"/>
        <w:tblLayout w:type="fixed"/>
        <w:tblLook w:firstColumn="1" w:firstRow="1" w:lastColumn="0" w:lastRow="0" w:noHBand="0" w:noVBand="1" w:val="04A0"/>
      </w:tblPr>
      <w:tblGrid>
        <w:gridCol w:w="202"/>
        <w:gridCol w:w="9000"/>
      </w:tblGrid>
      <w:tr>
        <w:tc>
          <w:tcPr>
            <w:tcW w:type="dxa" w:w="5112"/>
            <w:shd w:fill="006491"/>
            <w:tcMar>
              <w:top w:w="60" w:type="dxa"/>
              <w:start w:w="0" w:type="dxa"/>
              <w:bottom w:w="60" w:type="dxa"/>
              <w:end w:w="0" w:type="dxa"/>
            </w:tcMar>
          </w:tcPr>
          <w:p/>
        </w:tc>
        <w:tc>
          <w:tcPr>
            <w:tcW w:type="dxa" w:w="5112"/>
            <w:shd w:fill="EAF4F8"/>
            <w:tcMar>
              <w:top w:w="120" w:type="dxa"/>
              <w:start w:w="150" w:type="dxa"/>
              <w:bottom w:w="120" w:type="dxa"/>
              <w:end w:w="150" w:type="dxa"/>
            </w:tcMar>
          </w:tcPr>
          <w:p>
            <w:pPr>
              <w:spacing w:before="0" w:after="40" w:line="259" w:lineRule="auto"/>
            </w:pPr>
            <w:r>
              <w:rPr>
                <w:rFonts w:ascii="Liberation Sans" w:hAnsi="Liberation Sans"/>
                <w:b/>
                <w:color w:val="006491"/>
                <w:sz w:val="21"/>
              </w:rPr>
              <w:t>WHAT CUSTOMERS ARE SAYING</w:t>
            </w:r>
          </w:p>
          <w:p>
            <w:pPr>
              <w:spacing w:before="0" w:after="0" w:line="259" w:lineRule="auto"/>
            </w:pPr>
            <w:r>
              <w:rPr>
                <w:rFonts w:ascii="Liberation Sans" w:hAnsi="Liberation Sans"/>
                <w:color w:val="1F2937"/>
                <w:sz w:val="19"/>
              </w:rPr>
              <w:t>Domino's is frequently described as tasty, craveable, familiar and deal-friendly - but also inconsistent, deal-dependent, operationally unreliable and weak at service recovery.</w:t>
            </w:r>
          </w:p>
        </w:tc>
      </w:tr>
    </w:tbl>
    <w:p>
      <w:pPr>
        <w:spacing w:after="20"/>
      </w:pPr>
    </w:p>
    <w:tbl>
      <w:tblPr>
        <w:tblW w:type="auto" w:w="0"/>
        <w:jc w:val="center"/>
        <w:tblLayout w:type="fixed"/>
        <w:tblLook w:firstColumn="1" w:firstRow="1" w:lastColumn="0" w:lastRow="0" w:noHBand="0" w:noVBand="1" w:val="04A0"/>
      </w:tblPr>
      <w:tblGrid>
        <w:gridCol w:w="202"/>
        <w:gridCol w:w="9000"/>
      </w:tblGrid>
      <w:tr>
        <w:tc>
          <w:tcPr>
            <w:tcW w:type="dxa" w:w="5112"/>
            <w:shd w:fill="E31837"/>
            <w:tcMar>
              <w:top w:w="60" w:type="dxa"/>
              <w:start w:w="0" w:type="dxa"/>
              <w:bottom w:w="60" w:type="dxa"/>
              <w:end w:w="0" w:type="dxa"/>
            </w:tcMar>
          </w:tcPr>
          <w:p/>
        </w:tc>
        <w:tc>
          <w:tcPr>
            <w:tcW w:type="dxa" w:w="5112"/>
            <w:shd w:fill="FDECEE"/>
            <w:tcMar>
              <w:top w:w="120" w:type="dxa"/>
              <w:start w:w="150" w:type="dxa"/>
              <w:bottom w:w="120" w:type="dxa"/>
              <w:end w:w="150" w:type="dxa"/>
            </w:tcMar>
          </w:tcPr>
          <w:p>
            <w:pPr>
              <w:spacing w:before="0" w:after="40" w:line="259" w:lineRule="auto"/>
            </w:pPr>
            <w:r>
              <w:rPr>
                <w:rFonts w:ascii="Liberation Sans" w:hAnsi="Liberation Sans"/>
                <w:b/>
                <w:color w:val="E31837"/>
                <w:sz w:val="21"/>
              </w:rPr>
              <w:t>HOW THEY FEEL</w:t>
            </w:r>
          </w:p>
          <w:p>
            <w:pPr>
              <w:spacing w:before="0" w:after="0" w:line="259" w:lineRule="auto"/>
            </w:pPr>
            <w:r>
              <w:rPr>
                <w:rFonts w:ascii="Liberation Sans" w:hAnsi="Liberation Sans"/>
                <w:color w:val="1F2937"/>
                <w:sz w:val="19"/>
              </w:rPr>
              <w:t>The most prevalent emotions are disappointment (48.8%), frustration (48.1%) and anger (31.0%). Positive energy remains material: joy and excitement each appear in 26.4% of comments, with hope in 22.5% and loyalty in 20.9%.</w:t>
            </w:r>
          </w:p>
        </w:tc>
      </w:tr>
    </w:tbl>
    <w:p>
      <w:pPr>
        <w:spacing w:after="20"/>
      </w:pPr>
    </w:p>
    <w:tbl>
      <w:tblPr>
        <w:tblW w:type="auto" w:w="0"/>
        <w:jc w:val="center"/>
        <w:tblLayout w:type="fixed"/>
        <w:tblLook w:firstColumn="1" w:firstRow="1" w:lastColumn="0" w:lastRow="0" w:noHBand="0" w:noVBand="1" w:val="04A0"/>
      </w:tblPr>
      <w:tblGrid>
        <w:gridCol w:w="202"/>
        <w:gridCol w:w="9000"/>
      </w:tblGrid>
      <w:tr>
        <w:tc>
          <w:tcPr>
            <w:tcW w:type="dxa" w:w="5112"/>
            <w:shd w:fill="F59E0B"/>
            <w:tcMar>
              <w:top w:w="60" w:type="dxa"/>
              <w:start w:w="0" w:type="dxa"/>
              <w:bottom w:w="60" w:type="dxa"/>
              <w:end w:w="0" w:type="dxa"/>
            </w:tcMar>
          </w:tcPr>
          <w:p/>
        </w:tc>
        <w:tc>
          <w:tcPr>
            <w:tcW w:type="dxa" w:w="5112"/>
            <w:shd w:fill="FFF4E0"/>
            <w:tcMar>
              <w:top w:w="120" w:type="dxa"/>
              <w:start w:w="150" w:type="dxa"/>
              <w:bottom w:w="120" w:type="dxa"/>
              <w:end w:w="150" w:type="dxa"/>
            </w:tcMar>
          </w:tcPr>
          <w:p>
            <w:pPr>
              <w:spacing w:before="0" w:after="40" w:line="259" w:lineRule="auto"/>
            </w:pPr>
            <w:r>
              <w:rPr>
                <w:rFonts w:ascii="Liberation Sans" w:hAnsi="Liberation Sans"/>
                <w:b/>
                <w:color w:val="F59E0B"/>
                <w:sz w:val="21"/>
              </w:rPr>
              <w:t>WHY THEY FEEL THAT WAY</w:t>
            </w:r>
          </w:p>
          <w:p>
            <w:pPr>
              <w:spacing w:before="0" w:after="0" w:line="259" w:lineRule="auto"/>
            </w:pPr>
            <w:r>
              <w:rPr>
                <w:rFonts w:ascii="Liberation Sans" w:hAnsi="Liberation Sans"/>
                <w:color w:val="1F2937"/>
                <w:sz w:val="19"/>
              </w:rPr>
              <w:t>Positive feelings are driven by taste, favourite products, crust and topping preferences, perceived deals, and long-standing brand familiarity. Negative feelings are driven by inconsistent food quality, unresolved complaints, missed or wrong orders, long waits, delivery problems, staff conduct, price-value concerns and digital failures.</w:t>
            </w:r>
          </w:p>
        </w:tc>
      </w:tr>
    </w:tbl>
    <w:p>
      <w:pPr>
        <w:spacing w:after="20"/>
      </w:pPr>
    </w:p>
    <w:tbl>
      <w:tblPr>
        <w:tblW w:type="auto" w:w="0"/>
        <w:jc w:val="center"/>
        <w:tblLayout w:type="fixed"/>
        <w:tblLook w:firstColumn="1" w:firstRow="1" w:lastColumn="0" w:lastRow="0" w:noHBand="0" w:noVBand="1" w:val="04A0"/>
      </w:tblPr>
      <w:tblGrid>
        <w:gridCol w:w="202"/>
        <w:gridCol w:w="9000"/>
      </w:tblGrid>
      <w:tr>
        <w:tc>
          <w:tcPr>
            <w:tcW w:type="dxa" w:w="5112"/>
            <w:shd w:fill="16A34A"/>
            <w:tcMar>
              <w:top w:w="60" w:type="dxa"/>
              <w:start w:w="0" w:type="dxa"/>
              <w:bottom w:w="60" w:type="dxa"/>
              <w:end w:w="0" w:type="dxa"/>
            </w:tcMar>
          </w:tcPr>
          <w:p/>
        </w:tc>
        <w:tc>
          <w:tcPr>
            <w:tcW w:type="dxa" w:w="5112"/>
            <w:shd w:fill="EAF7EE"/>
            <w:tcMar>
              <w:top w:w="120" w:type="dxa"/>
              <w:start w:w="150" w:type="dxa"/>
              <w:bottom w:w="120" w:type="dxa"/>
              <w:end w:w="150" w:type="dxa"/>
            </w:tcMar>
          </w:tcPr>
          <w:p>
            <w:pPr>
              <w:spacing w:before="0" w:after="40" w:line="259" w:lineRule="auto"/>
            </w:pPr>
            <w:r>
              <w:rPr>
                <w:rFonts w:ascii="Liberation Sans" w:hAnsi="Liberation Sans"/>
                <w:b/>
                <w:color w:val="16A34A"/>
                <w:sz w:val="21"/>
              </w:rPr>
              <w:t>WHAT THE COMPANY SHOULD DO</w:t>
            </w:r>
          </w:p>
          <w:p>
            <w:pPr>
              <w:spacing w:before="0" w:after="0" w:line="259" w:lineRule="auto"/>
            </w:pPr>
            <w:r>
              <w:rPr>
                <w:rFonts w:ascii="Liberation Sans" w:hAnsi="Liberation Sans"/>
                <w:color w:val="1F2937"/>
                <w:sz w:val="19"/>
              </w:rPr>
              <w:t>Protect the taste and loyalty advantage while urgently standardising execution. The highest-priority actions are a service-recovery SLA, high-risk complaint escalation, store-level quality and fulfilment audits, staff/driver standards, and app/tracker reliability fixes.</w:t>
            </w:r>
          </w:p>
        </w:tc>
      </w:tr>
    </w:tbl>
    <w:p>
      <w:pPr>
        <w:spacing w:after="20"/>
      </w:pPr>
    </w:p>
    <w:p>
      <w:pPr>
        <w:keepNext/>
        <w:spacing w:before="160" w:after="80" w:line="259" w:lineRule="auto"/>
      </w:pPr>
      <w:r>
        <w:rPr>
          <w:rFonts w:ascii="Liberation Sans" w:hAnsi="Liberation Sans"/>
          <w:b/>
          <w:color w:val="1F2937"/>
          <w:sz w:val="24"/>
        </w:rPr>
        <w:t>Six decision-level findings</w:t>
      </w:r>
    </w:p>
    <w:p>
      <w:pPr>
        <w:spacing w:before="0" w:after="100" w:line="259" w:lineRule="auto"/>
      </w:pPr>
      <w:r>
        <w:rPr>
          <w:rFonts w:ascii="Liberation Sans" w:hAnsi="Liberation Sans"/>
          <w:b/>
          <w:color w:val="006491"/>
          <w:sz w:val="20"/>
        </w:rPr>
        <w:t xml:space="preserve">1. Negative experience dominates the sample. </w:t>
      </w:r>
      <w:r>
        <w:rPr>
          <w:rFonts w:ascii="Liberation Sans" w:hAnsi="Liberation Sans"/>
          <w:color w:val="1F2937"/>
          <w:sz w:val="20"/>
        </w:rPr>
        <w:t>67 of 129 usable comments are negative. A further 11 are mixed, meaning criticism appears in more than half of the usable dataset.</w:t>
      </w:r>
    </w:p>
    <w:p>
      <w:pPr>
        <w:spacing w:before="0" w:after="100" w:line="259" w:lineRule="auto"/>
      </w:pPr>
      <w:r>
        <w:rPr>
          <w:rFonts w:ascii="Liberation Sans" w:hAnsi="Liberation Sans"/>
          <w:b/>
          <w:color w:val="006491"/>
          <w:sz w:val="20"/>
        </w:rPr>
        <w:t xml:space="preserve">2. The problem is execution, not absence of brand affection. </w:t>
      </w:r>
      <w:r>
        <w:rPr>
          <w:rFonts w:ascii="Liberation Sans" w:hAnsi="Liberation Sans"/>
          <w:color w:val="1F2937"/>
          <w:sz w:val="20"/>
        </w:rPr>
        <w:t>Taste and flavour generated 34 praise mentions, while brand love and loyalty generated 32. The brand still has emotional equity to protect.</w:t>
      </w:r>
    </w:p>
    <w:p>
      <w:pPr>
        <w:spacing w:before="0" w:after="100" w:line="259" w:lineRule="auto"/>
      </w:pPr>
      <w:r>
        <w:rPr>
          <w:rFonts w:ascii="Liberation Sans" w:hAnsi="Liberation Sans"/>
          <w:b/>
          <w:color w:val="006491"/>
          <w:sz w:val="20"/>
        </w:rPr>
        <w:t xml:space="preserve">3. Service recovery is a major trust gap. </w:t>
      </w:r>
      <w:r>
        <w:rPr>
          <w:rFonts w:ascii="Liberation Sans" w:hAnsi="Liberation Sans"/>
          <w:color w:val="1F2937"/>
          <w:sz w:val="20"/>
        </w:rPr>
        <w:t>Customer service and recovery was mentioned 32 times; 29 mentions were negative. Customers repeatedly describe unanswered calls, delayed refunds and unresolved cases.</w:t>
      </w:r>
    </w:p>
    <w:p>
      <w:pPr>
        <w:spacing w:before="0" w:after="100" w:line="259" w:lineRule="auto"/>
      </w:pPr>
      <w:r>
        <w:rPr>
          <w:rFonts w:ascii="Liberation Sans" w:hAnsi="Liberation Sans"/>
          <w:b/>
          <w:color w:val="006491"/>
          <w:sz w:val="20"/>
        </w:rPr>
        <w:t xml:space="preserve">4. Fulfilment failures are highly visible. </w:t>
      </w:r>
      <w:r>
        <w:rPr>
          <w:rFonts w:ascii="Liberation Sans" w:hAnsi="Liberation Sans"/>
          <w:color w:val="1F2937"/>
          <w:sz w:val="20"/>
        </w:rPr>
        <w:t>Waiting time had 24 mentions and all were negative. Order accuracy and fulfilment had 26 mentions, of which 25 were negative.</w:t>
      </w:r>
    </w:p>
    <w:p>
      <w:pPr>
        <w:spacing w:before="0" w:after="100" w:line="259" w:lineRule="auto"/>
      </w:pPr>
      <w:r>
        <w:rPr>
          <w:rFonts w:ascii="Liberation Sans" w:hAnsi="Liberation Sans"/>
          <w:b/>
          <w:color w:val="006491"/>
          <w:sz w:val="20"/>
        </w:rPr>
        <w:t xml:space="preserve">5. Platform differences largely reflect sampling context. </w:t>
      </w:r>
      <w:r>
        <w:rPr>
          <w:rFonts w:ascii="Liberation Sans" w:hAnsi="Liberation Sans"/>
          <w:color w:val="1F2937"/>
          <w:sz w:val="20"/>
        </w:rPr>
        <w:t>Facebook is 89.5% negative and Instagram 77.4% negative, while YouTube and TikTok are more positive. The Facebook source is explicitly complaint-focused, so this is not a platform-wide market estimate.</w:t>
      </w:r>
    </w:p>
    <w:p>
      <w:pPr>
        <w:spacing w:before="0" w:after="100" w:line="259" w:lineRule="auto"/>
      </w:pPr>
      <w:r>
        <w:rPr>
          <w:rFonts w:ascii="Liberation Sans" w:hAnsi="Liberation Sans"/>
          <w:b/>
          <w:color w:val="006491"/>
          <w:sz w:val="20"/>
        </w:rPr>
        <w:t xml:space="preserve">6. Menu demand is both nostalgic and progressive. </w:t>
      </w:r>
      <w:r>
        <w:rPr>
          <w:rFonts w:ascii="Liberation Sans" w:hAnsi="Liberation Sans"/>
          <w:color w:val="1F2937"/>
          <w:sz w:val="20"/>
        </w:rPr>
        <w:t>Customers ask for discontinued favourites such as pasta, Brooklyn style, Buffalo Chicken Pizza, brownies and bread bowls, while repeated vegan-cheese requests signal an inclusion and market-expansion opportunity.</w:t>
      </w:r>
    </w:p>
    <w:p>
      <w:pPr>
        <w:keepNext/>
        <w:spacing w:before="160" w:after="80" w:line="259" w:lineRule="auto"/>
      </w:pPr>
      <w:r>
        <w:rPr>
          <w:rFonts w:ascii="Liberation Sans" w:hAnsi="Liberation Sans"/>
          <w:b/>
          <w:color w:val="1F2937"/>
          <w:sz w:val="24"/>
        </w:rPr>
        <w:t>Representative voice of the customer</w:t>
      </w:r>
    </w:p>
    <w:tbl>
      <w:tblPr>
        <w:tblW w:type="auto" w:w="0"/>
        <w:jc w:val="center"/>
        <w:tblLook w:firstColumn="1" w:firstRow="1" w:lastColumn="0" w:lastRow="0" w:noHBand="0" w:noVBand="1" w:val="04A0"/>
      </w:tblPr>
      <w:tblGrid>
        <w:gridCol w:w="10224"/>
      </w:tblGrid>
      <w:tr>
        <w:tc>
          <w:tcPr>
            <w:tcW w:type="dxa" w:w="10224"/>
            <w:shd w:fill="EAF7EE"/>
            <w:tcMar>
              <w:top w:w="130" w:type="dxa"/>
              <w:start w:w="180" w:type="dxa"/>
              <w:bottom w:w="130" w:type="dxa"/>
              <w:end w:w="180" w:type="dxa"/>
            </w:tcMar>
            <w:tcBorders>
              <w:left w:val="single" w:sz="18" w:color="16A34A"/>
            </w:tcBorders>
          </w:tcPr>
          <w:p>
            <w:pPr>
              <w:spacing w:before="0" w:after="80" w:line="259" w:lineRule="auto"/>
            </w:pPr>
            <w:r>
              <w:rPr>
                <w:rFonts w:ascii="Liberation Sans" w:hAnsi="Liberation Sans"/>
                <w:i/>
                <w:color w:val="1F2937"/>
                <w:sz w:val="20"/>
              </w:rPr>
              <w:t>“Dominos is comfortably the best chain pizza.”</w:t>
            </w:r>
          </w:p>
          <w:p>
            <w:pPr>
              <w:spacing w:before="0" w:after="0" w:line="259" w:lineRule="auto"/>
              <w:jc w:val="right"/>
            </w:pPr>
            <w:r>
              <w:rPr>
                <w:rFonts w:ascii="Liberation Sans" w:hAnsi="Liberation Sans"/>
                <w:b/>
                <w:color w:val="16A34A"/>
                <w:sz w:val="17"/>
              </w:rPr>
              <w:t>Comment 76 | TikTok | Positive</w:t>
            </w:r>
          </w:p>
        </w:tc>
      </w:tr>
    </w:tbl>
    <w:tbl>
      <w:tblPr>
        <w:tblW w:type="auto" w:w="0"/>
        <w:jc w:val="center"/>
        <w:tblLook w:firstColumn="1" w:firstRow="1" w:lastColumn="0" w:lastRow="0" w:noHBand="0" w:noVBand="1" w:val="04A0"/>
      </w:tblPr>
      <w:tblGrid>
        <w:gridCol w:w="10224"/>
      </w:tblGrid>
      <w:tr>
        <w:tc>
          <w:tcPr>
            <w:tcW w:type="dxa" w:w="10224"/>
            <w:shd w:fill="EAF7EE"/>
            <w:tcMar>
              <w:top w:w="130" w:type="dxa"/>
              <w:start w:w="180" w:type="dxa"/>
              <w:bottom w:w="130" w:type="dxa"/>
              <w:end w:w="180" w:type="dxa"/>
            </w:tcMar>
            <w:tcBorders>
              <w:left w:val="single" w:sz="18" w:color="16A34A"/>
            </w:tcBorders>
          </w:tcPr>
          <w:p>
            <w:pPr>
              <w:spacing w:before="0" w:after="80" w:line="259" w:lineRule="auto"/>
            </w:pPr>
            <w:r>
              <w:rPr>
                <w:rFonts w:ascii="Liberation Sans" w:hAnsi="Liberation Sans"/>
                <w:i/>
                <w:color w:val="1F2937"/>
                <w:sz w:val="20"/>
              </w:rPr>
              <w:t>“My orders have always been spot on and fresh... they have literally nailed it every time.”</w:t>
            </w:r>
          </w:p>
          <w:p>
            <w:pPr>
              <w:spacing w:before="0" w:after="0" w:line="259" w:lineRule="auto"/>
              <w:jc w:val="right"/>
            </w:pPr>
            <w:r>
              <w:rPr>
                <w:rFonts w:ascii="Liberation Sans" w:hAnsi="Liberation Sans"/>
                <w:b/>
                <w:color w:val="16A34A"/>
                <w:sz w:val="17"/>
              </w:rPr>
              <w:t>Comment 23 | YouTube | Positive</w:t>
            </w:r>
          </w:p>
        </w:tc>
      </w:tr>
    </w:tbl>
    <w:tbl>
      <w:tblPr>
        <w:tblW w:type="auto" w:w="0"/>
        <w:jc w:val="center"/>
        <w:tblLook w:firstColumn="1" w:firstRow="1" w:lastColumn="0" w:lastRow="0" w:noHBand="0" w:noVBand="1" w:val="04A0"/>
      </w:tblPr>
      <w:tblGrid>
        <w:gridCol w:w="10224"/>
      </w:tblGrid>
      <w:tr>
        <w:tc>
          <w:tcPr>
            <w:tcW w:type="dxa" w:w="10224"/>
            <w:shd w:fill="FDECEE"/>
            <w:tcMar>
              <w:top w:w="130" w:type="dxa"/>
              <w:start w:w="180" w:type="dxa"/>
              <w:bottom w:w="130" w:type="dxa"/>
              <w:end w:w="180" w:type="dxa"/>
            </w:tcMar>
            <w:tcBorders>
              <w:left w:val="single" w:sz="18" w:color="E31837"/>
            </w:tcBorders>
          </w:tcPr>
          <w:p>
            <w:pPr>
              <w:spacing w:before="0" w:after="80" w:line="259" w:lineRule="auto"/>
            </w:pPr>
            <w:r>
              <w:rPr>
                <w:rFonts w:ascii="Liberation Sans" w:hAnsi="Liberation Sans"/>
                <w:i/>
                <w:color w:val="1F2937"/>
                <w:sz w:val="20"/>
              </w:rPr>
              <w:t>“I can't get anywhere with customer service or anybody at any location.”</w:t>
            </w:r>
          </w:p>
          <w:p>
            <w:pPr>
              <w:spacing w:before="0" w:after="0" w:line="259" w:lineRule="auto"/>
              <w:jc w:val="right"/>
            </w:pPr>
            <w:r>
              <w:rPr>
                <w:rFonts w:ascii="Liberation Sans" w:hAnsi="Liberation Sans"/>
                <w:b/>
                <w:color w:val="E31837"/>
                <w:sz w:val="17"/>
              </w:rPr>
              <w:t>Comment 52 | Instagram | Negative</w:t>
            </w:r>
          </w:p>
        </w:tc>
      </w:tr>
    </w:tbl>
    <w:tbl>
      <w:tblPr>
        <w:tblW w:type="auto" w:w="0"/>
        <w:jc w:val="center"/>
        <w:tblLook w:firstColumn="1" w:firstRow="1" w:lastColumn="0" w:lastRow="0" w:noHBand="0" w:noVBand="1" w:val="04A0"/>
      </w:tblPr>
      <w:tblGrid>
        <w:gridCol w:w="10224"/>
      </w:tblGrid>
      <w:tr>
        <w:tc>
          <w:tcPr>
            <w:tcW w:type="dxa" w:w="10224"/>
            <w:shd w:fill="FFF4E0"/>
            <w:tcMar>
              <w:top w:w="130" w:type="dxa"/>
              <w:start w:w="180" w:type="dxa"/>
              <w:bottom w:w="130" w:type="dxa"/>
              <w:end w:w="180" w:type="dxa"/>
            </w:tcMar>
            <w:tcBorders>
              <w:left w:val="single" w:sz="18" w:color="F59E0B"/>
            </w:tcBorders>
          </w:tcPr>
          <w:p>
            <w:pPr>
              <w:spacing w:before="0" w:after="80" w:line="259" w:lineRule="auto"/>
            </w:pPr>
            <w:r>
              <w:rPr>
                <w:rFonts w:ascii="Liberation Sans" w:hAnsi="Liberation Sans"/>
                <w:i/>
                <w:color w:val="1F2937"/>
                <w:sz w:val="20"/>
              </w:rPr>
              <w:t>“Other than that, you guys have the best pizza! Thank you for all your hard work.”</w:t>
            </w:r>
          </w:p>
          <w:p>
            <w:pPr>
              <w:spacing w:before="0" w:after="0" w:line="259" w:lineRule="auto"/>
              <w:jc w:val="right"/>
            </w:pPr>
            <w:r>
              <w:rPr>
                <w:rFonts w:ascii="Liberation Sans" w:hAnsi="Liberation Sans"/>
                <w:b/>
                <w:color w:val="F59E0B"/>
                <w:sz w:val="17"/>
              </w:rPr>
              <w:t>Comment 108 | Facebook | Mixed</w:t>
            </w:r>
          </w:p>
        </w:tc>
      </w:tr>
    </w:tbl>
    <w:p>
      <w:r>
        <w:br w:type="page"/>
      </w:r>
    </w:p>
    <w:p>
      <w:pPr>
        <w:keepNext/>
        <w:spacing w:before="80" w:after="80" w:line="259" w:lineRule="auto"/>
        <w:pBdr>
          <w:bottom w:val="single" w:sz="10" w:space="1" w:color="006491"/>
        </w:pBdr>
      </w:pPr>
      <w:r>
        <w:rPr>
          <w:rFonts w:ascii="Liberation Sans" w:hAnsi="Liberation Sans"/>
          <w:b/>
          <w:color w:val="E31837"/>
          <w:sz w:val="38"/>
        </w:rPr>
        <w:t xml:space="preserve">3. </w:t>
      </w:r>
      <w:r>
        <w:rPr>
          <w:rFonts w:ascii="Liberation Sans" w:hAnsi="Liberation Sans"/>
          <w:b/>
          <w:color w:val="006491"/>
          <w:sz w:val="38"/>
        </w:rPr>
        <w:t>Objectives</w:t>
      </w:r>
    </w:p>
    <w:p>
      <w:pPr>
        <w:spacing w:before="0" w:after="120" w:line="259" w:lineRule="auto"/>
      </w:pPr>
      <w:r>
        <w:rPr>
          <w:rFonts w:ascii="Liberation Sans" w:hAnsi="Liberation Sans"/>
          <w:color w:val="1F2937"/>
          <w:sz w:val="20"/>
        </w:rPr>
        <w:t>This analysis was designed to answer the executive question: “What are customers saying, how do they feel, why do they feel that way, and what should the company do about it?”</w:t>
      </w:r>
    </w:p>
    <w:p>
      <w:pPr>
        <w:pStyle w:val="ListBullet"/>
        <w:spacing w:before="0" w:after="60" w:line="259" w:lineRule="auto"/>
      </w:pPr>
      <w:r>
        <w:rPr>
          <w:rFonts w:ascii="Liberation Sans" w:hAnsi="Liberation Sans"/>
          <w:color w:val="1F2937"/>
          <w:sz w:val="20"/>
        </w:rPr>
        <w:t>Quantify overall positive, negative, neutral and mixed sentiment.</w:t>
      </w:r>
    </w:p>
    <w:p>
      <w:pPr>
        <w:pStyle w:val="ListBullet"/>
        <w:spacing w:before="0" w:after="60" w:line="259" w:lineRule="auto"/>
      </w:pPr>
      <w:r>
        <w:rPr>
          <w:rFonts w:ascii="Liberation Sans" w:hAnsi="Liberation Sans"/>
          <w:color w:val="1F2937"/>
          <w:sz w:val="20"/>
        </w:rPr>
        <w:t>Identify the emotions behind customer reactions, including loyalty, excitement, disappointment, anger and frustration.</w:t>
      </w:r>
    </w:p>
    <w:p>
      <w:pPr>
        <w:pStyle w:val="ListBullet"/>
        <w:spacing w:before="0" w:after="60" w:line="259" w:lineRule="auto"/>
      </w:pPr>
      <w:r>
        <w:rPr>
          <w:rFonts w:ascii="Liberation Sans" w:hAnsi="Liberation Sans"/>
          <w:color w:val="1F2937"/>
          <w:sz w:val="20"/>
        </w:rPr>
        <w:t>Determine which business aspects drive positive and negative sentiment.</w:t>
      </w:r>
    </w:p>
    <w:p>
      <w:pPr>
        <w:pStyle w:val="ListBullet"/>
        <w:spacing w:before="0" w:after="60" w:line="259" w:lineRule="auto"/>
      </w:pPr>
      <w:r>
        <w:rPr>
          <w:rFonts w:ascii="Liberation Sans" w:hAnsi="Liberation Sans"/>
          <w:color w:val="1F2937"/>
          <w:sz w:val="20"/>
        </w:rPr>
        <w:t>Extract recurring topics, complaints, praise themes, products, locations, people and competitor references.</w:t>
      </w:r>
    </w:p>
    <w:p>
      <w:pPr>
        <w:pStyle w:val="ListBullet"/>
        <w:spacing w:before="0" w:after="60" w:line="259" w:lineRule="auto"/>
      </w:pPr>
      <w:r>
        <w:rPr>
          <w:rFonts w:ascii="Liberation Sans" w:hAnsi="Liberation Sans"/>
          <w:color w:val="1F2937"/>
          <w:sz w:val="20"/>
        </w:rPr>
        <w:t>Describe the brand perceptions communicated by the comments.</w:t>
      </w:r>
    </w:p>
    <w:p>
      <w:pPr>
        <w:pStyle w:val="ListBullet"/>
        <w:spacing w:before="0" w:after="60" w:line="259" w:lineRule="auto"/>
      </w:pPr>
      <w:r>
        <w:rPr>
          <w:rFonts w:ascii="Liberation Sans" w:hAnsi="Liberation Sans"/>
          <w:color w:val="1F2937"/>
          <w:sz w:val="20"/>
        </w:rPr>
        <w:t>Identify operational, marketing, product and digital opportunities.</w:t>
      </w:r>
    </w:p>
    <w:p>
      <w:pPr>
        <w:pStyle w:val="ListBullet"/>
        <w:spacing w:before="0" w:after="60" w:line="259" w:lineRule="auto"/>
      </w:pPr>
      <w:r>
        <w:rPr>
          <w:rFonts w:ascii="Liberation Sans" w:hAnsi="Liberation Sans"/>
          <w:color w:val="1F2937"/>
          <w:sz w:val="20"/>
        </w:rPr>
        <w:t>Prioritise practical recommendations across 0-30 days, 1-6 months and 6-12 months.</w:t>
      </w:r>
    </w:p>
    <w:p>
      <w:pPr>
        <w:pStyle w:val="ListBullet"/>
        <w:spacing w:before="0" w:after="60" w:line="259" w:lineRule="auto"/>
      </w:pPr>
      <w:r>
        <w:rPr>
          <w:rFonts w:ascii="Liberation Sans" w:hAnsi="Liberation Sans"/>
          <w:color w:val="1F2937"/>
          <w:sz w:val="20"/>
        </w:rPr>
        <w:t>Provide a transparent audit trail in the accompanying analysis workbook.</w:t>
      </w:r>
    </w:p>
    <w:tbl>
      <w:tblPr>
        <w:tblW w:type="auto" w:w="0"/>
        <w:jc w:val="center"/>
        <w:tblLayout w:type="fixed"/>
        <w:tblLook w:firstColumn="1" w:firstRow="1" w:lastColumn="0" w:lastRow="0" w:noHBand="0" w:noVBand="1" w:val="04A0"/>
      </w:tblPr>
      <w:tblGrid>
        <w:gridCol w:w="202"/>
        <w:gridCol w:w="9000"/>
      </w:tblGrid>
      <w:tr>
        <w:tc>
          <w:tcPr>
            <w:tcW w:type="dxa" w:w="5112"/>
            <w:shd w:fill="006491"/>
            <w:tcMar>
              <w:top w:w="60" w:type="dxa"/>
              <w:start w:w="0" w:type="dxa"/>
              <w:bottom w:w="60" w:type="dxa"/>
              <w:end w:w="0" w:type="dxa"/>
            </w:tcMar>
          </w:tcPr>
          <w:p/>
        </w:tc>
        <w:tc>
          <w:tcPr>
            <w:tcW w:type="dxa" w:w="5112"/>
            <w:shd w:fill="EAF4F8"/>
            <w:tcMar>
              <w:top w:w="120" w:type="dxa"/>
              <w:start w:w="150" w:type="dxa"/>
              <w:bottom w:w="120" w:type="dxa"/>
              <w:end w:w="150" w:type="dxa"/>
            </w:tcMar>
          </w:tcPr>
          <w:p>
            <w:pPr>
              <w:spacing w:before="0" w:after="40" w:line="259" w:lineRule="auto"/>
            </w:pPr>
            <w:r>
              <w:rPr>
                <w:rFonts w:ascii="Liberation Sans" w:hAnsi="Liberation Sans"/>
                <w:b/>
                <w:color w:val="006491"/>
                <w:sz w:val="21"/>
              </w:rPr>
              <w:t>DECISION USE</w:t>
            </w:r>
          </w:p>
          <w:p>
            <w:pPr>
              <w:spacing w:before="0" w:after="0" w:line="259" w:lineRule="auto"/>
            </w:pPr>
            <w:r>
              <w:rPr>
                <w:rFonts w:ascii="Liberation Sans" w:hAnsi="Liberation Sans"/>
                <w:color w:val="1F2937"/>
                <w:sz w:val="19"/>
              </w:rPr>
              <w:t>The report is most useful as a structured diagnostic and hypothesis generator. It should guide investigation, prioritisation and larger-scale measurement - not be treated as a statistically representative brand-health tracker.</w:t>
            </w:r>
          </w:p>
        </w:tc>
      </w:tr>
    </w:tbl>
    <w:p>
      <w:pPr>
        <w:spacing w:after="20"/>
      </w:pPr>
    </w:p>
    <w:p>
      <w:pPr>
        <w:keepNext/>
        <w:spacing w:before="80" w:after="80" w:line="259" w:lineRule="auto"/>
        <w:pBdr>
          <w:bottom w:val="single" w:sz="10" w:space="1" w:color="006491"/>
        </w:pBdr>
      </w:pPr>
      <w:r>
        <w:rPr>
          <w:rFonts w:ascii="Liberation Sans" w:hAnsi="Liberation Sans"/>
          <w:b/>
          <w:color w:val="E31837"/>
          <w:sz w:val="38"/>
        </w:rPr>
        <w:t xml:space="preserve">4. </w:t>
      </w:r>
      <w:r>
        <w:rPr>
          <w:rFonts w:ascii="Liberation Sans" w:hAnsi="Liberation Sans"/>
          <w:b/>
          <w:color w:val="006491"/>
          <w:sz w:val="38"/>
        </w:rPr>
        <w:t>Dataset Overview</w:t>
      </w:r>
    </w:p>
    <w:p>
      <w:pPr>
        <w:spacing w:before="0" w:after="200" w:line="259" w:lineRule="auto"/>
      </w:pPr>
      <w:r>
        <w:rPr>
          <w:rFonts w:ascii="Liberation Sans" w:hAnsi="Liberation Sans"/>
          <w:i/>
          <w:color w:val="6B7280"/>
          <w:sz w:val="20"/>
        </w:rPr>
        <w:t>Observed file contents, cleaning decisions and reconstruction assumptions.</w:t>
      </w:r>
    </w:p>
    <w:tbl>
      <w:tblPr>
        <w:tblW w:type="auto" w:w="0"/>
        <w:jc w:val="center"/>
        <w:tblLayout w:type="fixed"/>
        <w:tblLook w:firstColumn="1" w:firstRow="1" w:lastColumn="0" w:lastRow="0" w:noHBand="0" w:noVBand="1" w:val="04A0"/>
      </w:tblPr>
      <w:tblGrid>
        <w:gridCol w:w="3096"/>
        <w:gridCol w:w="6120"/>
      </w:tblGrid>
      <w:tr>
        <w:trPr>
          <w:tblHeader w:val="true"/>
          <w:cantSplit w:val="true"/>
        </w:trPr>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Dataset Attribute</w:t>
            </w:r>
          </w:p>
        </w:tc>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Value</w:t>
            </w:r>
          </w:p>
        </w:tc>
      </w:tr>
      <w:tr>
        <w:trPr>
          <w:cantSplit w:val="true"/>
        </w:trPr>
        <w:tc>
          <w:tcPr>
            <w:tcW w:type="dxa" w:w="30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Numbered records</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130</w:t>
            </w:r>
          </w:p>
        </w:tc>
      </w:tr>
      <w:tr>
        <w:trPr>
          <w:cantSplit w:val="true"/>
        </w:trPr>
        <w:tc>
          <w:tcPr>
            <w:tcW w:type="dxa" w:w="30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Usable comment texts</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129</w:t>
            </w:r>
          </w:p>
        </w:tc>
      </w:tr>
      <w:tr>
        <w:trPr>
          <w:cantSplit w:val="true"/>
        </w:trPr>
        <w:tc>
          <w:tcPr>
            <w:tcW w:type="dxa" w:w="30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Blank records excluded</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1 (ID 99)</w:t>
            </w:r>
          </w:p>
        </w:tc>
      </w:tr>
      <w:tr>
        <w:trPr>
          <w:cantSplit w:val="true"/>
        </w:trPr>
        <w:tc>
          <w:tcPr>
            <w:tcW w:type="dxa" w:w="30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Continuation rows merged</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5</w:t>
            </w:r>
          </w:p>
        </w:tc>
      </w:tr>
      <w:tr>
        <w:trPr>
          <w:cantSplit w:val="true"/>
        </w:trPr>
        <w:tc>
          <w:tcPr>
            <w:tcW w:type="dxa" w:w="30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Observed platforms</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YouTube, Instagram, TikTok, Facebook and X/Twitter</w:t>
            </w:r>
          </w:p>
        </w:tc>
      </w:tr>
      <w:tr>
        <w:trPr>
          <w:cantSplit w:val="true"/>
        </w:trPr>
        <w:tc>
          <w:tcPr>
            <w:tcW w:type="dxa" w:w="30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Collection date/time</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21 July 2026, 10:00-20:00 WAT</w:t>
            </w:r>
          </w:p>
        </w:tc>
      </w:tr>
      <w:tr>
        <w:trPr>
          <w:cantSplit w:val="true"/>
        </w:trPr>
        <w:tc>
          <w:tcPr>
            <w:tcW w:type="dxa" w:w="30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Nominal reconstructed comment span</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21 July 2020 - 20 July 2026</w:t>
            </w:r>
          </w:p>
        </w:tc>
      </w:tr>
      <w:tr>
        <w:trPr>
          <w:cantSplit w:val="true"/>
        </w:trPr>
        <w:tc>
          <w:tcPr>
            <w:tcW w:type="dxa" w:w="30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Analyst</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Peter Nnamdi Ileh</w:t>
            </w:r>
          </w:p>
        </w:tc>
      </w:tr>
    </w:tbl>
    <w:p>
      <w:pPr>
        <w:keepNext/>
        <w:spacing w:before="160" w:after="80" w:line="259" w:lineRule="auto"/>
      </w:pPr>
      <w:r>
        <w:rPr>
          <w:rFonts w:ascii="Liberation Sans" w:hAnsi="Liberation Sans"/>
          <w:b/>
          <w:color w:val="1F2937"/>
          <w:sz w:val="24"/>
        </w:rPr>
        <w:t>Platform composition and sentiment</w:t>
      </w:r>
    </w:p>
    <w:tbl>
      <w:tblPr>
        <w:tblW w:type="auto" w:w="0"/>
        <w:jc w:val="center"/>
        <w:tblLayout w:type="fixed"/>
        <w:tblLook w:firstColumn="1" w:firstRow="1" w:lastColumn="0" w:lastRow="0" w:noHBand="0" w:noVBand="1" w:val="04A0"/>
      </w:tblPr>
      <w:tblGrid>
        <w:gridCol w:w="2088"/>
        <w:gridCol w:w="1080"/>
        <w:gridCol w:w="1440"/>
        <w:gridCol w:w="1440"/>
        <w:gridCol w:w="1440"/>
        <w:gridCol w:w="1440"/>
      </w:tblGrid>
      <w:tr>
        <w:trPr>
          <w:tblHeader w:val="true"/>
          <w:cantSplit w:val="true"/>
        </w:trPr>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Platform</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Usable</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Positive</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Negative</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Neutral n</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Mixed n</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YouTube</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30</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46.7%</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23.3%</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r>
      <w:tr>
        <w:trPr>
          <w:cantSplit w:val="true"/>
        </w:trPr>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Instagram</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31</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16.1%</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77.4%</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TikTok</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30</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40.0%</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30.0%</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w:t>
            </w:r>
          </w:p>
        </w:tc>
      </w:tr>
      <w:tr>
        <w:trPr>
          <w:cantSplit w:val="true"/>
        </w:trPr>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Facebook</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19</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0.0%</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89.5%</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X (Twitter)</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19</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15.8%</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52.6%</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r>
    </w:tbl>
    <w:p>
      <w:pPr>
        <w:keepNext/>
        <w:jc w:val="center"/>
      </w:pPr>
      <w:r>
        <w:drawing>
          <wp:inline xmlns:a="http://schemas.openxmlformats.org/drawingml/2006/main" xmlns:pic="http://schemas.openxmlformats.org/drawingml/2006/picture">
            <wp:extent cx="5806440" cy="4148379"/>
            <wp:docPr id="1" name="Picture 1"/>
            <wp:cNvGraphicFramePr>
              <a:graphicFrameLocks noChangeAspect="1"/>
            </wp:cNvGraphicFramePr>
            <a:graphic>
              <a:graphicData uri="http://schemas.openxmlformats.org/drawingml/2006/picture">
                <pic:pic>
                  <pic:nvPicPr>
                    <pic:cNvPr id="0" name="02_sentiment_by_platform.png"/>
                    <pic:cNvPicPr/>
                  </pic:nvPicPr>
                  <pic:blipFill>
                    <a:blip r:embed="rId11"/>
                    <a:stretch>
                      <a:fillRect/>
                    </a:stretch>
                  </pic:blipFill>
                  <pic:spPr>
                    <a:xfrm>
                      <a:off x="0" y="0"/>
                      <a:ext cx="5806440" cy="4148379"/>
                    </a:xfrm>
                    <a:prstGeom prst="rect"/>
                  </pic:spPr>
                </pic:pic>
              </a:graphicData>
            </a:graphic>
          </wp:inline>
        </w:drawing>
      </w:r>
    </w:p>
    <w:p>
      <w:pPr>
        <w:spacing w:before="0" w:after="160" w:line="259" w:lineRule="auto"/>
        <w:jc w:val="center"/>
      </w:pPr>
      <w:r>
        <w:rPr>
          <w:rFonts w:ascii="Liberation Sans" w:hAnsi="Liberation Sans"/>
          <w:i/>
          <w:color w:val="6B7280"/>
          <w:sz w:val="17"/>
        </w:rPr>
        <w:t>Figure 1. Platform-level sentiment mix. Interpret differences as sample composition, not population-level platform performance.</w:t>
      </w:r>
    </w:p>
    <w:p>
      <w:pPr>
        <w:keepNext/>
        <w:spacing w:before="160" w:after="80" w:line="259" w:lineRule="auto"/>
      </w:pPr>
      <w:r>
        <w:rPr>
          <w:rFonts w:ascii="Liberation Sans" w:hAnsi="Liberation Sans"/>
          <w:b/>
          <w:color w:val="1F2937"/>
          <w:sz w:val="24"/>
        </w:rPr>
        <w:t>Data cleaning and date reconstruction</w:t>
      </w:r>
    </w:p>
    <w:p>
      <w:pPr>
        <w:pStyle w:val="ListBullet"/>
        <w:spacing w:before="0" w:after="60" w:line="259" w:lineRule="auto"/>
      </w:pPr>
      <w:r>
        <w:rPr>
          <w:rFonts w:ascii="Liberation Sans" w:hAnsi="Liberation Sans"/>
          <w:color w:val="1F2937"/>
          <w:sz w:val="20"/>
        </w:rPr>
        <w:t>Five unnumbered continuation rows were joined to the preceding numbered comment so that multi-line comments remained one analytical record.</w:t>
      </w:r>
    </w:p>
    <w:p>
      <w:pPr>
        <w:pStyle w:val="ListBullet"/>
        <w:spacing w:before="0" w:after="60" w:line="259" w:lineRule="auto"/>
      </w:pPr>
      <w:r>
        <w:rPr>
          <w:rFonts w:ascii="Liberation Sans" w:hAnsi="Liberation Sans"/>
          <w:color w:val="1F2937"/>
          <w:sz w:val="20"/>
        </w:rPr>
        <w:t>IDs 129 and 130 had blank platform cells but shared the same post title and date context as the preceding X/Twitter records; they were coded as X/Twitter.</w:t>
      </w:r>
    </w:p>
    <w:p>
      <w:pPr>
        <w:pStyle w:val="ListBullet"/>
        <w:spacing w:before="0" w:after="60" w:line="259" w:lineRule="auto"/>
      </w:pPr>
      <w:r>
        <w:rPr>
          <w:rFonts w:ascii="Liberation Sans" w:hAnsi="Liberation Sans"/>
          <w:color w:val="1F2937"/>
          <w:sz w:val="20"/>
        </w:rPr>
        <w:t>ID 99 had no comment text and was excluded from sentiment, emotion, aspect and topic percentages.</w:t>
      </w:r>
    </w:p>
    <w:p>
      <w:pPr>
        <w:pStyle w:val="ListBullet"/>
        <w:spacing w:before="0" w:after="60" w:line="259" w:lineRule="auto"/>
      </w:pPr>
      <w:r>
        <w:rPr>
          <w:rFonts w:ascii="Liberation Sans" w:hAnsi="Liberation Sans"/>
          <w:color w:val="1F2937"/>
          <w:sz w:val="20"/>
        </w:rPr>
        <w:t>Excel date serials were converted to calendar dates and treated as exact dates.</w:t>
      </w:r>
    </w:p>
    <w:p>
      <w:pPr>
        <w:pStyle w:val="ListBullet"/>
        <w:spacing w:before="0" w:after="60" w:line="259" w:lineRule="auto"/>
      </w:pPr>
      <w:r>
        <w:rPr>
          <w:rFonts w:ascii="Liberation Sans" w:hAnsi="Liberation Sans"/>
          <w:color w:val="1F2937"/>
          <w:sz w:val="20"/>
        </w:rPr>
        <w:t>Relative labels such as “three weeks ago,” “seven months ago” and “six years ago” were anchored to 21 July 2026 at 20:00 WAT. These are nominal approximations because platforms round relative timestamps.</w:t>
      </w:r>
    </w:p>
    <w:p>
      <w:pPr>
        <w:pStyle w:val="ListBullet"/>
        <w:spacing w:before="0" w:after="60" w:line="259" w:lineRule="auto"/>
      </w:pPr>
      <w:r>
        <w:rPr>
          <w:rFonts w:ascii="Liberation Sans" w:hAnsi="Liberation Sans"/>
          <w:color w:val="1F2937"/>
          <w:sz w:val="20"/>
        </w:rPr>
        <w:t>Missing post or comment dates were retained as missing rather than imputed.</w:t>
      </w:r>
    </w:p>
    <w:p>
      <w:pPr>
        <w:keepNext/>
        <w:spacing w:before="160" w:after="80" w:line="259" w:lineRule="auto"/>
      </w:pPr>
      <w:r>
        <w:rPr>
          <w:rFonts w:ascii="Liberation Sans" w:hAnsi="Liberation Sans"/>
          <w:b/>
          <w:color w:val="1F2937"/>
          <w:sz w:val="24"/>
        </w:rPr>
        <w:t>Date precision profile</w:t>
      </w:r>
    </w:p>
    <w:tbl>
      <w:tblPr>
        <w:tblW w:type="auto" w:w="0"/>
        <w:jc w:val="center"/>
        <w:tblLayout w:type="fixed"/>
        <w:tblLook w:firstColumn="1" w:firstRow="1" w:lastColumn="0" w:lastRow="0" w:noHBand="0" w:noVBand="1" w:val="04A0"/>
      </w:tblPr>
      <w:tblGrid>
        <w:gridCol w:w="6912"/>
        <w:gridCol w:w="1728"/>
      </w:tblGrid>
      <w:tr>
        <w:trPr>
          <w:tblHeader w:val="true"/>
          <w:cantSplit w:val="true"/>
        </w:trPr>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Precision Type</w:t>
            </w:r>
          </w:p>
        </w:tc>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Records</w:t>
            </w:r>
          </w:p>
        </w:tc>
      </w:tr>
      <w:tr>
        <w:trPr>
          <w:cantSplit w:val="true"/>
        </w:trPr>
        <w:tc>
          <w:tcPr>
            <w:tcW w:type="dxa" w:w="691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Comment date - exact serial</w:t>
            </w:r>
          </w:p>
        </w:tc>
        <w:tc>
          <w:tcPr>
            <w:tcW w:type="dxa" w:w="172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61</w:t>
            </w:r>
          </w:p>
        </w:tc>
      </w:tr>
      <w:tr>
        <w:trPr>
          <w:cantSplit w:val="true"/>
        </w:trPr>
        <w:tc>
          <w:tcPr>
            <w:tcW w:type="dxa" w:w="691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Comment date - week approximation</w:t>
            </w:r>
          </w:p>
        </w:tc>
        <w:tc>
          <w:tcPr>
            <w:tcW w:type="dxa" w:w="172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32</w:t>
            </w:r>
          </w:p>
        </w:tc>
      </w:tr>
      <w:tr>
        <w:trPr>
          <w:cantSplit w:val="true"/>
        </w:trPr>
        <w:tc>
          <w:tcPr>
            <w:tcW w:type="dxa" w:w="691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Comment date - year approximation</w:t>
            </w:r>
          </w:p>
        </w:tc>
        <w:tc>
          <w:tcPr>
            <w:tcW w:type="dxa" w:w="172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23</w:t>
            </w:r>
          </w:p>
        </w:tc>
      </w:tr>
      <w:tr>
        <w:trPr>
          <w:cantSplit w:val="true"/>
        </w:trPr>
        <w:tc>
          <w:tcPr>
            <w:tcW w:type="dxa" w:w="691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Comment date - month approximation</w:t>
            </w:r>
          </w:p>
        </w:tc>
        <w:tc>
          <w:tcPr>
            <w:tcW w:type="dxa" w:w="172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7</w:t>
            </w:r>
          </w:p>
        </w:tc>
      </w:tr>
      <w:tr>
        <w:trPr>
          <w:cantSplit w:val="true"/>
        </w:trPr>
        <w:tc>
          <w:tcPr>
            <w:tcW w:type="dxa" w:w="691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Comment date - day approximation</w:t>
            </w:r>
          </w:p>
        </w:tc>
        <w:tc>
          <w:tcPr>
            <w:tcW w:type="dxa" w:w="172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5</w:t>
            </w:r>
          </w:p>
        </w:tc>
      </w:tr>
      <w:tr>
        <w:trPr>
          <w:cantSplit w:val="true"/>
        </w:trPr>
        <w:tc>
          <w:tcPr>
            <w:tcW w:type="dxa" w:w="691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Comment date - missing</w:t>
            </w:r>
          </w:p>
        </w:tc>
        <w:tc>
          <w:tcPr>
            <w:tcW w:type="dxa" w:w="172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2</w:t>
            </w:r>
          </w:p>
        </w:tc>
      </w:tr>
    </w:tbl>
    <w:p>
      <w:pPr>
        <w:keepNext/>
        <w:spacing w:before="160" w:after="80" w:line="259" w:lineRule="auto"/>
      </w:pPr>
      <w:r>
        <w:rPr>
          <w:rFonts w:ascii="Liberation Sans" w:hAnsi="Liberation Sans"/>
          <w:b/>
          <w:color w:val="1F2937"/>
          <w:sz w:val="24"/>
        </w:rPr>
        <w:t>Material limitations</w:t>
      </w:r>
    </w:p>
    <w:p>
      <w:pPr>
        <w:pStyle w:val="ListBullet"/>
        <w:spacing w:before="0" w:after="60" w:line="259" w:lineRule="auto"/>
      </w:pPr>
      <w:r>
        <w:rPr>
          <w:rFonts w:ascii="Liberation Sans" w:hAnsi="Liberation Sans"/>
          <w:color w:val="1F2937"/>
          <w:sz w:val="20"/>
        </w:rPr>
        <w:t>Small sample: 129 usable comments cannot estimate the sentiment of Domino’s total customer base.</w:t>
      </w:r>
    </w:p>
    <w:p>
      <w:pPr>
        <w:pStyle w:val="ListBullet"/>
        <w:spacing w:before="0" w:after="60" w:line="259" w:lineRule="auto"/>
      </w:pPr>
      <w:r>
        <w:rPr>
          <w:rFonts w:ascii="Liberation Sans" w:hAnsi="Liberation Sans"/>
          <w:color w:val="1F2937"/>
          <w:sz w:val="20"/>
        </w:rPr>
        <w:t>Purposive collection: comments were manually selected rather than randomly sampled.</w:t>
      </w:r>
    </w:p>
    <w:p>
      <w:pPr>
        <w:pStyle w:val="ListBullet"/>
        <w:spacing w:before="0" w:after="60" w:line="259" w:lineRule="auto"/>
      </w:pPr>
      <w:r>
        <w:rPr>
          <w:rFonts w:ascii="Liberation Sans" w:hAnsi="Liberation Sans"/>
          <w:color w:val="1F2937"/>
          <w:sz w:val="20"/>
        </w:rPr>
        <w:t>Post-context bias: some comments react to creators or marketing posts rather than direct customer experiences.</w:t>
      </w:r>
    </w:p>
    <w:p>
      <w:pPr>
        <w:pStyle w:val="ListBullet"/>
        <w:spacing w:before="0" w:after="60" w:line="259" w:lineRule="auto"/>
      </w:pPr>
      <w:r>
        <w:rPr>
          <w:rFonts w:ascii="Liberation Sans" w:hAnsi="Liberation Sans"/>
          <w:color w:val="1F2937"/>
          <w:sz w:val="20"/>
        </w:rPr>
        <w:t>Complaint-source bias: the Facebook source title is explicitly complaint-focused, strongly increasing negative prevalence.</w:t>
      </w:r>
    </w:p>
    <w:p>
      <w:pPr>
        <w:pStyle w:val="ListBullet"/>
        <w:spacing w:before="0" w:after="60" w:line="259" w:lineRule="auto"/>
      </w:pPr>
      <w:r>
        <w:rPr>
          <w:rFonts w:ascii="Liberation Sans" w:hAnsi="Liberation Sans"/>
          <w:color w:val="1F2937"/>
          <w:sz w:val="20"/>
        </w:rPr>
        <w:t>Historical mixing: comments span reconstructed years and markets, so they do not represent one operating period or geography.</w:t>
      </w:r>
    </w:p>
    <w:p>
      <w:pPr>
        <w:pStyle w:val="ListBullet"/>
        <w:spacing w:before="0" w:after="60" w:line="259" w:lineRule="auto"/>
      </w:pPr>
      <w:r>
        <w:rPr>
          <w:rFonts w:ascii="Liberation Sans" w:hAnsi="Liberation Sans"/>
          <w:color w:val="1F2937"/>
          <w:sz w:val="20"/>
        </w:rPr>
        <w:t>No engagement weighting: likes, replies, reach, follower count and verified purchase status were unavailable.</w:t>
      </w:r>
    </w:p>
    <w:p>
      <w:pPr>
        <w:pStyle w:val="ListBullet"/>
        <w:spacing w:before="0" w:after="60" w:line="259" w:lineRule="auto"/>
      </w:pPr>
      <w:r>
        <w:rPr>
          <w:rFonts w:ascii="Liberation Sans" w:hAnsi="Liberation Sans"/>
          <w:color w:val="1F2937"/>
          <w:sz w:val="20"/>
        </w:rPr>
        <w:t>Sarcasm and ambiguity were human-reviewed, but interpretation remains judgement-based.</w:t>
      </w:r>
    </w:p>
    <w:p>
      <w:pPr>
        <w:pStyle w:val="ListBullet"/>
        <w:spacing w:before="0" w:after="60" w:line="259" w:lineRule="auto"/>
      </w:pPr>
      <w:r>
        <w:rPr>
          <w:rFonts w:ascii="Liberation Sans" w:hAnsi="Liberation Sans"/>
          <w:color w:val="1F2937"/>
          <w:sz w:val="20"/>
        </w:rPr>
        <w:t>Competitor and location findings use only explicit mentions inside the dataset.</w:t>
      </w:r>
    </w:p>
    <w:tbl>
      <w:tblPr>
        <w:tblW w:type="auto" w:w="0"/>
        <w:jc w:val="center"/>
        <w:tblLayout w:type="fixed"/>
        <w:tblLook w:firstColumn="1" w:firstRow="1" w:lastColumn="0" w:lastRow="0" w:noHBand="0" w:noVBand="1" w:val="04A0"/>
      </w:tblPr>
      <w:tblGrid>
        <w:gridCol w:w="202"/>
        <w:gridCol w:w="9000"/>
      </w:tblGrid>
      <w:tr>
        <w:tc>
          <w:tcPr>
            <w:tcW w:type="dxa" w:w="5112"/>
            <w:shd w:fill="E31837"/>
            <w:tcMar>
              <w:top w:w="60" w:type="dxa"/>
              <w:start w:w="0" w:type="dxa"/>
              <w:bottom w:w="60" w:type="dxa"/>
              <w:end w:w="0" w:type="dxa"/>
            </w:tcMar>
          </w:tcPr>
          <w:p/>
        </w:tc>
        <w:tc>
          <w:tcPr>
            <w:tcW w:type="dxa" w:w="5112"/>
            <w:shd w:fill="FDECEE"/>
            <w:tcMar>
              <w:top w:w="120" w:type="dxa"/>
              <w:start w:w="150" w:type="dxa"/>
              <w:bottom w:w="120" w:type="dxa"/>
              <w:end w:w="150" w:type="dxa"/>
            </w:tcMar>
          </w:tcPr>
          <w:p>
            <w:pPr>
              <w:spacing w:before="0" w:after="40" w:line="259" w:lineRule="auto"/>
            </w:pPr>
            <w:r>
              <w:rPr>
                <w:rFonts w:ascii="Liberation Sans" w:hAnsi="Liberation Sans"/>
                <w:b/>
                <w:color w:val="E31837"/>
                <w:sz w:val="21"/>
              </w:rPr>
              <w:t>INTERPRETATION RULE</w:t>
            </w:r>
          </w:p>
          <w:p>
            <w:pPr>
              <w:spacing w:before="0" w:after="0" w:line="259" w:lineRule="auto"/>
            </w:pPr>
            <w:r>
              <w:rPr>
                <w:rFonts w:ascii="Liberation Sans" w:hAnsi="Liberation Sans"/>
                <w:color w:val="1F2937"/>
                <w:sz w:val="19"/>
              </w:rPr>
              <w:t>Use counts to identify recurring signals and operational hypotheses. Do not use the percentages as audited estimates of Domino’s global customer sentiment.</w:t>
            </w:r>
          </w:p>
        </w:tc>
      </w:tr>
    </w:tbl>
    <w:p>
      <w:pPr>
        <w:spacing w:after="20"/>
      </w:pPr>
    </w:p>
    <w:p>
      <w:r>
        <w:br w:type="page"/>
      </w:r>
    </w:p>
    <w:p>
      <w:pPr>
        <w:keepNext/>
        <w:spacing w:before="80" w:after="80" w:line="259" w:lineRule="auto"/>
        <w:pBdr>
          <w:bottom w:val="single" w:sz="10" w:space="1" w:color="006491"/>
        </w:pBdr>
      </w:pPr>
      <w:r>
        <w:rPr>
          <w:rFonts w:ascii="Liberation Sans" w:hAnsi="Liberation Sans"/>
          <w:b/>
          <w:color w:val="E31837"/>
          <w:sz w:val="38"/>
        </w:rPr>
        <w:t xml:space="preserve">5. </w:t>
      </w:r>
      <w:r>
        <w:rPr>
          <w:rFonts w:ascii="Liberation Sans" w:hAnsi="Liberation Sans"/>
          <w:b/>
          <w:color w:val="006491"/>
          <w:sz w:val="38"/>
        </w:rPr>
        <w:t>Overall Sentiment Analysis</w:t>
      </w:r>
    </w:p>
    <w:p>
      <w:pPr>
        <w:keepNext/>
        <w:jc w:val="center"/>
      </w:pPr>
      <w:r>
        <w:drawing>
          <wp:inline xmlns:a="http://schemas.openxmlformats.org/drawingml/2006/main" xmlns:pic="http://schemas.openxmlformats.org/drawingml/2006/picture">
            <wp:extent cx="5806440" cy="4729100"/>
            <wp:docPr id="2" name="Picture 2"/>
            <wp:cNvGraphicFramePr>
              <a:graphicFrameLocks noChangeAspect="1"/>
            </wp:cNvGraphicFramePr>
            <a:graphic>
              <a:graphicData uri="http://schemas.openxmlformats.org/drawingml/2006/picture">
                <pic:pic>
                  <pic:nvPicPr>
                    <pic:cNvPr id="0" name="01_sentiment_distribution.png"/>
                    <pic:cNvPicPr/>
                  </pic:nvPicPr>
                  <pic:blipFill>
                    <a:blip r:embed="rId12"/>
                    <a:stretch>
                      <a:fillRect/>
                    </a:stretch>
                  </pic:blipFill>
                  <pic:spPr>
                    <a:xfrm>
                      <a:off x="0" y="0"/>
                      <a:ext cx="5806440" cy="4729100"/>
                    </a:xfrm>
                    <a:prstGeom prst="rect"/>
                  </pic:spPr>
                </pic:pic>
              </a:graphicData>
            </a:graphic>
          </wp:inline>
        </w:drawing>
      </w:r>
    </w:p>
    <w:p>
      <w:pPr>
        <w:spacing w:before="0" w:after="160" w:line="259" w:lineRule="auto"/>
        <w:jc w:val="center"/>
      </w:pPr>
      <w:r>
        <w:rPr>
          <w:rFonts w:ascii="Liberation Sans" w:hAnsi="Liberation Sans"/>
          <w:i/>
          <w:color w:val="6B7280"/>
          <w:sz w:val="17"/>
        </w:rPr>
        <w:t>Figure 2. Overall sentiment distribution across 129 usable comments.</w:t>
      </w:r>
    </w:p>
    <w:tbl>
      <w:tblPr>
        <w:tblW w:type="auto" w:w="0"/>
        <w:jc w:val="center"/>
        <w:tblLayout w:type="fixed"/>
        <w:tblLook w:firstColumn="1" w:firstRow="1" w:lastColumn="0" w:lastRow="0" w:noHBand="0" w:noVBand="1" w:val="04A0"/>
      </w:tblPr>
      <w:tblGrid>
        <w:gridCol w:w="1440"/>
        <w:gridCol w:w="1008"/>
        <w:gridCol w:w="1152"/>
        <w:gridCol w:w="5616"/>
      </w:tblGrid>
      <w:tr>
        <w:trPr>
          <w:tblHeader w:val="true"/>
          <w:cantSplit w:val="true"/>
        </w:trPr>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Sentiment</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Count</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Share</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Interpretation</w:t>
            </w:r>
          </w:p>
        </w:tc>
      </w:tr>
      <w:tr>
        <w:trPr>
          <w:cantSplit w:val="true"/>
        </w:trPr>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Positive</w:t>
            </w:r>
          </w:p>
        </w:tc>
        <w:tc>
          <w:tcPr>
            <w:tcW w:type="dxa" w:w="10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34</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26.4%</w:t>
            </w:r>
          </w:p>
        </w:tc>
        <w:tc>
          <w:tcPr>
            <w:tcW w:type="dxa" w:w="561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Clear praise, affection, satisfaction or favourable recommendation.</w:t>
            </w:r>
          </w:p>
        </w:tc>
      </w:tr>
      <w:tr>
        <w:trPr>
          <w:cantSplit w:val="true"/>
        </w:trPr>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Negative</w:t>
            </w:r>
          </w:p>
        </w:tc>
        <w:tc>
          <w:tcPr>
            <w:tcW w:type="dxa" w:w="10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67</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51.9%</w:t>
            </w:r>
          </w:p>
        </w:tc>
        <w:tc>
          <w:tcPr>
            <w:tcW w:type="dxa" w:w="561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Clear criticism, complaint, rejection, anger or dissatisfaction.</w:t>
            </w:r>
          </w:p>
        </w:tc>
      </w:tr>
      <w:tr>
        <w:trPr>
          <w:cantSplit w:val="true"/>
        </w:trPr>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Neutral</w:t>
            </w:r>
          </w:p>
        </w:tc>
        <w:tc>
          <w:tcPr>
            <w:tcW w:type="dxa" w:w="10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17</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13.2%</w:t>
            </w:r>
          </w:p>
        </w:tc>
        <w:tc>
          <w:tcPr>
            <w:tcW w:type="dxa" w:w="561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Information, questions, humour or comments without a clear brand evaluation.</w:t>
            </w:r>
          </w:p>
        </w:tc>
      </w:tr>
      <w:tr>
        <w:trPr>
          <w:cantSplit w:val="true"/>
        </w:trPr>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Mixed</w:t>
            </w:r>
          </w:p>
        </w:tc>
        <w:tc>
          <w:tcPr>
            <w:tcW w:type="dxa" w:w="10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11</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8.5%</w:t>
            </w:r>
          </w:p>
        </w:tc>
        <w:tc>
          <w:tcPr>
            <w:tcW w:type="dxa" w:w="561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Meaningful praise and criticism in the same comment.</w:t>
            </w:r>
          </w:p>
        </w:tc>
      </w:tr>
    </w:tbl>
    <w:p>
      <w:pPr>
        <w:keepNext/>
        <w:spacing w:before="160" w:after="80" w:line="259" w:lineRule="auto"/>
      </w:pPr>
      <w:r>
        <w:rPr>
          <w:rFonts w:ascii="Liberation Sans" w:hAnsi="Liberation Sans"/>
          <w:b/>
          <w:color w:val="1F2937"/>
          <w:sz w:val="24"/>
        </w:rPr>
        <w:t>Interpretation</w:t>
      </w:r>
    </w:p>
    <w:p>
      <w:pPr>
        <w:spacing w:before="0" w:after="120" w:line="259" w:lineRule="auto"/>
      </w:pPr>
      <w:r>
        <w:rPr>
          <w:rFonts w:ascii="Liberation Sans" w:hAnsi="Liberation Sans"/>
          <w:color w:val="1F2937"/>
          <w:sz w:val="20"/>
        </w:rPr>
        <w:t>Negative comments are the majority at 51.9%. When the 8.5% mixed category is added, 60.5% of usable comments contain at least some meaningful criticism. This signals an operational and trust-recovery issue within the sampled conversations.</w:t>
      </w:r>
    </w:p>
    <w:p>
      <w:pPr>
        <w:spacing w:before="0" w:after="120" w:line="259" w:lineRule="auto"/>
      </w:pPr>
      <w:r>
        <w:rPr>
          <w:rFonts w:ascii="Liberation Sans" w:hAnsi="Liberation Sans"/>
          <w:color w:val="1F2937"/>
          <w:sz w:val="20"/>
        </w:rPr>
        <w:t>Positive sentiment remains substantial at 26.4%. It is concentrated around taste, favourite products, crusts, toppings, promotions and long-term brand affection. This matters strategically: Domino’s is not rebuilding from zero brand equity; it is trying to close the gap between a desirable product promise and inconsistent execution.</w:t>
      </w:r>
    </w:p>
    <w:tbl>
      <w:tblPr>
        <w:tblW w:type="auto" w:w="0"/>
        <w:jc w:val="center"/>
        <w:tblLayout w:type="fixed"/>
        <w:tblLook w:firstColumn="1" w:firstRow="1" w:lastColumn="0" w:lastRow="0" w:noHBand="0" w:noVBand="1" w:val="04A0"/>
      </w:tblPr>
      <w:tblGrid>
        <w:gridCol w:w="202"/>
        <w:gridCol w:w="9000"/>
      </w:tblGrid>
      <w:tr>
        <w:tc>
          <w:tcPr>
            <w:tcW w:type="dxa" w:w="5112"/>
            <w:shd w:fill="F59E0B"/>
            <w:tcMar>
              <w:top w:w="60" w:type="dxa"/>
              <w:start w:w="0" w:type="dxa"/>
              <w:bottom w:w="60" w:type="dxa"/>
              <w:end w:w="0" w:type="dxa"/>
            </w:tcMar>
          </w:tcPr>
          <w:p/>
        </w:tc>
        <w:tc>
          <w:tcPr>
            <w:tcW w:type="dxa" w:w="5112"/>
            <w:shd w:fill="FFF4E0"/>
            <w:tcMar>
              <w:top w:w="120" w:type="dxa"/>
              <w:start w:w="150" w:type="dxa"/>
              <w:bottom w:w="120" w:type="dxa"/>
              <w:end w:w="150" w:type="dxa"/>
            </w:tcMar>
          </w:tcPr>
          <w:p>
            <w:pPr>
              <w:spacing w:before="0" w:after="40" w:line="259" w:lineRule="auto"/>
            </w:pPr>
            <w:r>
              <w:rPr>
                <w:rFonts w:ascii="Liberation Sans" w:hAnsi="Liberation Sans"/>
                <w:b/>
                <w:color w:val="F59E0B"/>
                <w:sz w:val="21"/>
              </w:rPr>
              <w:t>CORE SENTIMENT TENSION</w:t>
            </w:r>
          </w:p>
          <w:p>
            <w:pPr>
              <w:spacing w:before="0" w:after="0" w:line="259" w:lineRule="auto"/>
            </w:pPr>
            <w:r>
              <w:rPr>
                <w:rFonts w:ascii="Liberation Sans" w:hAnsi="Liberation Sans"/>
                <w:color w:val="1F2937"/>
                <w:sz w:val="19"/>
              </w:rPr>
              <w:t>Customers often want to love Domino’s, but repeated execution failures create disappointment precisely because expectations and prior loyalty are high.</w:t>
            </w:r>
          </w:p>
        </w:tc>
      </w:tr>
    </w:tbl>
    <w:p>
      <w:pPr>
        <w:spacing w:after="20"/>
      </w:pPr>
    </w:p>
    <w:p>
      <w:pPr>
        <w:keepNext/>
        <w:spacing w:before="80" w:after="80" w:line="259" w:lineRule="auto"/>
        <w:pBdr>
          <w:bottom w:val="single" w:sz="10" w:space="1" w:color="006491"/>
        </w:pBdr>
      </w:pPr>
      <w:r>
        <w:rPr>
          <w:rFonts w:ascii="Liberation Sans" w:hAnsi="Liberation Sans"/>
          <w:b/>
          <w:color w:val="E31837"/>
          <w:sz w:val="38"/>
        </w:rPr>
        <w:t xml:space="preserve">6. </w:t>
      </w:r>
      <w:r>
        <w:rPr>
          <w:rFonts w:ascii="Liberation Sans" w:hAnsi="Liberation Sans"/>
          <w:b/>
          <w:color w:val="006491"/>
          <w:sz w:val="38"/>
        </w:rPr>
        <w:t>Sentiment Trend Over Time</w:t>
      </w:r>
    </w:p>
    <w:p>
      <w:pPr>
        <w:spacing w:before="0" w:after="200" w:line="259" w:lineRule="auto"/>
      </w:pPr>
      <w:r>
        <w:rPr>
          <w:rFonts w:ascii="Liberation Sans" w:hAnsi="Liberation Sans"/>
          <w:i/>
          <w:color w:val="6B7280"/>
          <w:sz w:val="20"/>
        </w:rPr>
        <w:t>A directional historical view using reconstructed comment dates.</w:t>
      </w:r>
    </w:p>
    <w:p>
      <w:pPr>
        <w:keepNext/>
        <w:jc w:val="center"/>
      </w:pPr>
      <w:r>
        <w:drawing>
          <wp:inline xmlns:a="http://schemas.openxmlformats.org/drawingml/2006/main" xmlns:pic="http://schemas.openxmlformats.org/drawingml/2006/picture">
            <wp:extent cx="5806440" cy="4107801"/>
            <wp:docPr id="3" name="Picture 3"/>
            <wp:cNvGraphicFramePr>
              <a:graphicFrameLocks noChangeAspect="1"/>
            </wp:cNvGraphicFramePr>
            <a:graphic>
              <a:graphicData uri="http://schemas.openxmlformats.org/drawingml/2006/picture">
                <pic:pic>
                  <pic:nvPicPr>
                    <pic:cNvPr id="0" name="03_sentiment_trend.png"/>
                    <pic:cNvPicPr/>
                  </pic:nvPicPr>
                  <pic:blipFill>
                    <a:blip r:embed="rId13"/>
                    <a:stretch>
                      <a:fillRect/>
                    </a:stretch>
                  </pic:blipFill>
                  <pic:spPr>
                    <a:xfrm>
                      <a:off x="0" y="0"/>
                      <a:ext cx="5806440" cy="4107801"/>
                    </a:xfrm>
                    <a:prstGeom prst="rect"/>
                  </pic:spPr>
                </pic:pic>
              </a:graphicData>
            </a:graphic>
          </wp:inline>
        </w:drawing>
      </w:r>
    </w:p>
    <w:p>
      <w:pPr>
        <w:spacing w:before="0" w:after="160" w:line="259" w:lineRule="auto"/>
        <w:jc w:val="center"/>
      </w:pPr>
      <w:r>
        <w:rPr>
          <w:rFonts w:ascii="Liberation Sans" w:hAnsi="Liberation Sans"/>
          <w:i/>
          <w:color w:val="6B7280"/>
          <w:sz w:val="17"/>
        </w:rPr>
        <w:t>Figure 3. Positive share, negative share and net sentiment index by reconstructed comment year. Annual sample sizes are shown on the chart.</w:t>
      </w:r>
    </w:p>
    <w:tbl>
      <w:tblPr>
        <w:tblW w:type="auto" w:w="0"/>
        <w:jc w:val="center"/>
        <w:tblLayout w:type="fixed"/>
        <w:tblLook w:firstColumn="1" w:firstRow="1" w:lastColumn="0" w:lastRow="0" w:noHBand="0" w:noVBand="1" w:val="04A0"/>
      </w:tblPr>
      <w:tblGrid>
        <w:gridCol w:w="1008"/>
        <w:gridCol w:w="792"/>
        <w:gridCol w:w="1224"/>
        <w:gridCol w:w="1224"/>
        <w:gridCol w:w="1224"/>
        <w:gridCol w:w="1080"/>
        <w:gridCol w:w="1440"/>
      </w:tblGrid>
      <w:tr>
        <w:trPr>
          <w:tblHeader w:val="true"/>
          <w:cantSplit w:val="true"/>
        </w:trPr>
        <w:tc>
          <w:tcPr>
            <w:tcW w:type="dxa" w:w="1461"/>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Year</w:t>
            </w:r>
          </w:p>
        </w:tc>
        <w:tc>
          <w:tcPr>
            <w:tcW w:type="dxa" w:w="1461"/>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w:t>
            </w:r>
          </w:p>
        </w:tc>
        <w:tc>
          <w:tcPr>
            <w:tcW w:type="dxa" w:w="1461"/>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Positive</w:t>
            </w:r>
          </w:p>
        </w:tc>
        <w:tc>
          <w:tcPr>
            <w:tcW w:type="dxa" w:w="1461"/>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Negative</w:t>
            </w:r>
          </w:p>
        </w:tc>
        <w:tc>
          <w:tcPr>
            <w:tcW w:type="dxa" w:w="1461"/>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Neutral</w:t>
            </w:r>
          </w:p>
        </w:tc>
        <w:tc>
          <w:tcPr>
            <w:tcW w:type="dxa" w:w="1461"/>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Mixed</w:t>
            </w:r>
          </w:p>
        </w:tc>
        <w:tc>
          <w:tcPr>
            <w:tcW w:type="dxa" w:w="1461"/>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Net Index</w:t>
            </w:r>
          </w:p>
        </w:tc>
      </w:tr>
      <w:tr>
        <w:trPr>
          <w:cantSplit w:val="true"/>
        </w:trPr>
        <w:tc>
          <w:tcPr>
            <w:tcW w:type="dxa" w:w="10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2020</w:t>
            </w:r>
          </w:p>
        </w:tc>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+80.0</w:t>
            </w:r>
          </w:p>
        </w:tc>
      </w:tr>
      <w:tr>
        <w:trPr>
          <w:cantSplit w:val="true"/>
        </w:trPr>
        <w:tc>
          <w:tcPr>
            <w:tcW w:type="dxa" w:w="10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2021</w:t>
            </w:r>
          </w:p>
        </w:tc>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+33.3</w:t>
            </w:r>
          </w:p>
        </w:tc>
      </w:tr>
      <w:tr>
        <w:trPr>
          <w:cantSplit w:val="true"/>
        </w:trPr>
        <w:tc>
          <w:tcPr>
            <w:tcW w:type="dxa" w:w="10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2022</w:t>
            </w:r>
          </w:p>
        </w:tc>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+0.0</w:t>
            </w:r>
          </w:p>
        </w:tc>
      </w:tr>
      <w:tr>
        <w:trPr>
          <w:cantSplit w:val="true"/>
        </w:trPr>
        <w:tc>
          <w:tcPr>
            <w:tcW w:type="dxa" w:w="10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2023</w:t>
            </w:r>
          </w:p>
        </w:tc>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-33.3</w:t>
            </w:r>
          </w:p>
        </w:tc>
      </w:tr>
      <w:tr>
        <w:trPr>
          <w:cantSplit w:val="true"/>
        </w:trPr>
        <w:tc>
          <w:tcPr>
            <w:tcW w:type="dxa" w:w="10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2024</w:t>
            </w:r>
          </w:p>
        </w:tc>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25</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14</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-36.0</w:t>
            </w:r>
          </w:p>
        </w:tc>
      </w:tr>
      <w:tr>
        <w:trPr>
          <w:cantSplit w:val="true"/>
        </w:trPr>
        <w:tc>
          <w:tcPr>
            <w:tcW w:type="dxa" w:w="10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2025</w:t>
            </w:r>
          </w:p>
        </w:tc>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35</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12</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15</w:t>
            </w:r>
          </w:p>
        </w:tc>
        <w:tc>
          <w:tcPr>
            <w:tcW w:type="dxa" w:w="122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-8.6</w:t>
            </w:r>
          </w:p>
        </w:tc>
      </w:tr>
      <w:tr>
        <w:trPr>
          <w:cantSplit w:val="true"/>
        </w:trPr>
        <w:tc>
          <w:tcPr>
            <w:tcW w:type="dxa" w:w="10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2026</w:t>
            </w:r>
          </w:p>
        </w:tc>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51</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9</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32</w:t>
            </w:r>
          </w:p>
        </w:tc>
        <w:tc>
          <w:tcPr>
            <w:tcW w:type="dxa" w:w="122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-45.1</w:t>
            </w:r>
          </w:p>
        </w:tc>
      </w:tr>
    </w:tbl>
    <w:p>
      <w:pPr>
        <w:spacing w:before="0" w:after="120" w:line="259" w:lineRule="auto"/>
      </w:pPr>
      <w:r>
        <w:rPr>
          <w:rFonts w:ascii="Liberation Sans" w:hAnsi="Liberation Sans"/>
          <w:color w:val="1F2937"/>
          <w:sz w:val="20"/>
        </w:rPr>
        <w:t>The sampled comments become more negative in the later reconstructed years, with a net sentiment index of -45.1 in 2026. This should not be read as a validated deterioration trend because the sample composition changes over time and recent records are disproportionately drawn from complaint-heavy Facebook and X/Twitter sources.</w:t>
      </w:r>
    </w:p>
    <w:tbl>
      <w:tblPr>
        <w:tblW w:type="auto" w:w="0"/>
        <w:jc w:val="center"/>
        <w:tblLayout w:type="fixed"/>
        <w:tblLook w:firstColumn="1" w:firstRow="1" w:lastColumn="0" w:lastRow="0" w:noHBand="0" w:noVBand="1" w:val="04A0"/>
      </w:tblPr>
      <w:tblGrid>
        <w:gridCol w:w="202"/>
        <w:gridCol w:w="9000"/>
      </w:tblGrid>
      <w:tr>
        <w:tc>
          <w:tcPr>
            <w:tcW w:type="dxa" w:w="5112"/>
            <w:shd w:fill="6B7280"/>
            <w:tcMar>
              <w:top w:w="60" w:type="dxa"/>
              <w:start w:w="0" w:type="dxa"/>
              <w:bottom w:w="60" w:type="dxa"/>
              <w:end w:w="0" w:type="dxa"/>
            </w:tcMar>
          </w:tcPr>
          <w:p/>
        </w:tc>
        <w:tc>
          <w:tcPr>
            <w:tcW w:type="dxa" w:w="5112"/>
            <w:shd w:fill="F3F4F6"/>
            <w:tcMar>
              <w:top w:w="120" w:type="dxa"/>
              <w:start w:w="150" w:type="dxa"/>
              <w:bottom w:w="120" w:type="dxa"/>
              <w:end w:w="150" w:type="dxa"/>
            </w:tcMar>
          </w:tcPr>
          <w:p>
            <w:pPr>
              <w:spacing w:before="0" w:after="40" w:line="259" w:lineRule="auto"/>
            </w:pPr>
            <w:r>
              <w:rPr>
                <w:rFonts w:ascii="Liberation Sans" w:hAnsi="Liberation Sans"/>
                <w:b/>
                <w:color w:val="6B7280"/>
                <w:sz w:val="21"/>
              </w:rPr>
              <w:t>MANAGEMENT USE</w:t>
            </w:r>
          </w:p>
          <w:p>
            <w:pPr>
              <w:spacing w:before="0" w:after="0" w:line="259" w:lineRule="auto"/>
            </w:pPr>
            <w:r>
              <w:rPr>
                <w:rFonts w:ascii="Liberation Sans" w:hAnsi="Liberation Sans"/>
                <w:color w:val="1F2937"/>
                <w:sz w:val="19"/>
              </w:rPr>
              <w:t>Treat the temporal pattern as a warning signal worth validating with a larger, continuously collected and stratified dataset. It is not sufficient evidence, by itself, to claim that global brand sentiment has worsened over time.</w:t>
            </w:r>
          </w:p>
        </w:tc>
      </w:tr>
    </w:tbl>
    <w:p>
      <w:pPr>
        <w:spacing w:after="20"/>
      </w:pPr>
    </w:p>
    <w:p>
      <w:pPr>
        <w:keepNext/>
        <w:spacing w:before="80" w:after="80" w:line="259" w:lineRule="auto"/>
        <w:pBdr>
          <w:bottom w:val="single" w:sz="10" w:space="1" w:color="006491"/>
        </w:pBdr>
      </w:pPr>
      <w:r>
        <w:rPr>
          <w:rFonts w:ascii="Liberation Sans" w:hAnsi="Liberation Sans"/>
          <w:b/>
          <w:color w:val="E31837"/>
          <w:sz w:val="38"/>
        </w:rPr>
        <w:t xml:space="preserve">7. </w:t>
      </w:r>
      <w:r>
        <w:rPr>
          <w:rFonts w:ascii="Liberation Sans" w:hAnsi="Liberation Sans"/>
          <w:b/>
          <w:color w:val="006491"/>
          <w:sz w:val="38"/>
        </w:rPr>
        <w:t>Emotion Analysis</w:t>
      </w:r>
    </w:p>
    <w:p>
      <w:pPr>
        <w:spacing w:before="0" w:after="200" w:line="259" w:lineRule="auto"/>
      </w:pPr>
      <w:r>
        <w:rPr>
          <w:rFonts w:ascii="Liberation Sans" w:hAnsi="Liberation Sans"/>
          <w:i/>
          <w:color w:val="6B7280"/>
          <w:sz w:val="20"/>
        </w:rPr>
        <w:t>Multi-label emotion coding: one comment can express several emotions.</w:t>
      </w:r>
    </w:p>
    <w:p>
      <w:pPr>
        <w:keepNext/>
        <w:jc w:val="center"/>
      </w:pPr>
      <w:r>
        <w:drawing>
          <wp:inline xmlns:a="http://schemas.openxmlformats.org/drawingml/2006/main" xmlns:pic="http://schemas.openxmlformats.org/drawingml/2006/picture">
            <wp:extent cx="5806440" cy="5040859"/>
            <wp:docPr id="4" name="Picture 4"/>
            <wp:cNvGraphicFramePr>
              <a:graphicFrameLocks noChangeAspect="1"/>
            </wp:cNvGraphicFramePr>
            <a:graphic>
              <a:graphicData uri="http://schemas.openxmlformats.org/drawingml/2006/picture">
                <pic:pic>
                  <pic:nvPicPr>
                    <pic:cNvPr id="0" name="04_emotion_distribution.png"/>
                    <pic:cNvPicPr/>
                  </pic:nvPicPr>
                  <pic:blipFill>
                    <a:blip r:embed="rId14"/>
                    <a:stretch>
                      <a:fillRect/>
                    </a:stretch>
                  </pic:blipFill>
                  <pic:spPr>
                    <a:xfrm>
                      <a:off x="0" y="0"/>
                      <a:ext cx="5806440" cy="5040859"/>
                    </a:xfrm>
                    <a:prstGeom prst="rect"/>
                  </pic:spPr>
                </pic:pic>
              </a:graphicData>
            </a:graphic>
          </wp:inline>
        </w:drawing>
      </w:r>
    </w:p>
    <w:p>
      <w:pPr>
        <w:spacing w:before="0" w:after="160" w:line="259" w:lineRule="auto"/>
        <w:jc w:val="center"/>
      </w:pPr>
      <w:r>
        <w:rPr>
          <w:rFonts w:ascii="Liberation Sans" w:hAnsi="Liberation Sans"/>
          <w:i/>
          <w:color w:val="6B7280"/>
          <w:sz w:val="17"/>
        </w:rPr>
        <w:t>Figure 4. Emotion prevalence as a percentage of 129 usable comments. Percentages overlap and therefore exceed 100% in total.</w:t>
      </w:r>
    </w:p>
    <w:tbl>
      <w:tblPr>
        <w:tblW w:type="auto" w:w="0"/>
        <w:jc w:val="center"/>
        <w:tblLayout w:type="fixed"/>
        <w:tblLook w:firstColumn="1" w:firstRow="1" w:lastColumn="0" w:lastRow="0" w:noHBand="0" w:noVBand="1" w:val="04A0"/>
      </w:tblPr>
      <w:tblGrid>
        <w:gridCol w:w="1944"/>
        <w:gridCol w:w="720"/>
        <w:gridCol w:w="1080"/>
        <w:gridCol w:w="1944"/>
        <w:gridCol w:w="720"/>
        <w:gridCol w:w="1080"/>
      </w:tblGrid>
      <w:tr>
        <w:trPr>
          <w:tblHeader w:val="true"/>
          <w:cantSplit w:val="true"/>
        </w:trPr>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Emotion</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Share</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Emotion</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w:t>
            </w:r>
          </w:p>
        </w:tc>
        <w:tc>
          <w:tcPr>
            <w:tcW w:type="dxa" w:w="1704"/>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Share</w:t>
            </w:r>
          </w:p>
        </w:tc>
      </w:tr>
      <w:tr>
        <w:trPr>
          <w:cantSplit w:val="true"/>
        </w:trPr>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Disappointment</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63</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48.8%</w:t>
            </w:r>
          </w:p>
        </w:tc>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Love</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22</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17.1%</w:t>
            </w:r>
          </w:p>
        </w:tc>
      </w:tr>
      <w:tr>
        <w:trPr>
          <w:cantSplit w:val="true"/>
        </w:trPr>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Frustration</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62</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48.1%</w:t>
            </w:r>
          </w:p>
        </w:tc>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Satisfaction</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21</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16.3%</w:t>
            </w:r>
          </w:p>
        </w:tc>
      </w:tr>
      <w:tr>
        <w:trPr>
          <w:cantSplit w:val="true"/>
        </w:trPr>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Anger</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40</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31.0%</w:t>
            </w:r>
          </w:p>
        </w:tc>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Disgust</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15.5%</w:t>
            </w:r>
          </w:p>
        </w:tc>
      </w:tr>
      <w:tr>
        <w:trPr>
          <w:cantSplit w:val="true"/>
        </w:trPr>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Joy</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34</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26.4%</w:t>
            </w:r>
          </w:p>
        </w:tc>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Surprise</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14</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10.9%</w:t>
            </w:r>
          </w:p>
        </w:tc>
      </w:tr>
      <w:tr>
        <w:trPr>
          <w:cantSplit w:val="true"/>
        </w:trPr>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Excitement</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34</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26.4%</w:t>
            </w:r>
          </w:p>
        </w:tc>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Fear</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14</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10.9%</w:t>
            </w:r>
          </w:p>
        </w:tc>
      </w:tr>
      <w:tr>
        <w:trPr>
          <w:cantSplit w:val="true"/>
        </w:trPr>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Hope</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29</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22.5%</w:t>
            </w:r>
          </w:p>
        </w:tc>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Regret</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14</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10.9%</w:t>
            </w:r>
          </w:p>
        </w:tc>
      </w:tr>
      <w:tr>
        <w:trPr>
          <w:cantSplit w:val="true"/>
        </w:trPr>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Anticipation</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28</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21.7%</w:t>
            </w:r>
          </w:p>
        </w:tc>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Trust</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4.7%</w:t>
            </w:r>
          </w:p>
        </w:tc>
      </w:tr>
      <w:tr>
        <w:trPr>
          <w:cantSplit w:val="true"/>
        </w:trPr>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Loyalty</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27</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20.9%</w:t>
            </w:r>
          </w:p>
        </w:tc>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Gratitude</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3.1%</w:t>
            </w:r>
          </w:p>
        </w:tc>
      </w:tr>
      <w:tr>
        <w:trPr>
          <w:cantSplit w:val="true"/>
        </w:trPr>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Impatience</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25</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19.4%</w:t>
            </w:r>
          </w:p>
        </w:tc>
        <w:tc>
          <w:tcPr>
            <w:tcW w:type="dxa" w:w="19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Jealousy</w:t>
            </w:r>
          </w:p>
        </w:tc>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0.0%</w:t>
            </w:r>
          </w:p>
        </w:tc>
      </w:tr>
      <w:tr>
        <w:trPr>
          <w:cantSplit w:val="true"/>
        </w:trPr>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Confusion</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23</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17.8%</w:t>
            </w:r>
          </w:p>
        </w:tc>
        <w:tc>
          <w:tcPr>
            <w:tcW w:type="dxa" w:w="19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Relief</w:t>
            </w:r>
          </w:p>
        </w:tc>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0.0%</w:t>
            </w:r>
          </w:p>
        </w:tc>
      </w:tr>
    </w:tbl>
    <w:p>
      <w:pPr>
        <w:keepNext/>
        <w:spacing w:before="160" w:after="80" w:line="259" w:lineRule="auto"/>
      </w:pPr>
      <w:r>
        <w:rPr>
          <w:rFonts w:ascii="Liberation Sans" w:hAnsi="Liberation Sans"/>
          <w:b/>
          <w:color w:val="1F2937"/>
          <w:sz w:val="24"/>
        </w:rPr>
        <w:t>Emotional interpretation</w:t>
      </w:r>
    </w:p>
    <w:tbl>
      <w:tblPr>
        <w:tblW w:type="auto" w:w="0"/>
        <w:jc w:val="center"/>
        <w:tblLayout w:type="fixed"/>
        <w:tblLook w:firstColumn="1" w:firstRow="1" w:lastColumn="0" w:lastRow="0" w:noHBand="0" w:noVBand="1" w:val="04A0"/>
      </w:tblPr>
      <w:tblGrid>
        <w:gridCol w:w="202"/>
        <w:gridCol w:w="9000"/>
      </w:tblGrid>
      <w:tr>
        <w:tc>
          <w:tcPr>
            <w:tcW w:type="dxa" w:w="5112"/>
            <w:shd w:fill="E31837"/>
            <w:tcMar>
              <w:top w:w="60" w:type="dxa"/>
              <w:start w:w="0" w:type="dxa"/>
              <w:bottom w:w="60" w:type="dxa"/>
              <w:end w:w="0" w:type="dxa"/>
            </w:tcMar>
          </w:tcPr>
          <w:p/>
        </w:tc>
        <w:tc>
          <w:tcPr>
            <w:tcW w:type="dxa" w:w="5112"/>
            <w:shd w:fill="FDECEE"/>
            <w:tcMar>
              <w:top w:w="120" w:type="dxa"/>
              <w:start w:w="150" w:type="dxa"/>
              <w:bottom w:w="120" w:type="dxa"/>
              <w:end w:w="150" w:type="dxa"/>
            </w:tcMar>
          </w:tcPr>
          <w:p>
            <w:pPr>
              <w:spacing w:before="0" w:after="40" w:line="259" w:lineRule="auto"/>
            </w:pPr>
            <w:r>
              <w:rPr>
                <w:rFonts w:ascii="Liberation Sans" w:hAnsi="Liberation Sans"/>
                <w:b/>
                <w:color w:val="E31837"/>
                <w:sz w:val="21"/>
              </w:rPr>
              <w:t>DISAPPOINTMENT AND FRUSTRATION ARE THE CENTRAL RISK.</w:t>
            </w:r>
          </w:p>
          <w:p>
            <w:pPr>
              <w:spacing w:before="0" w:after="0" w:line="259" w:lineRule="auto"/>
            </w:pPr>
            <w:r>
              <w:rPr>
                <w:rFonts w:ascii="Liberation Sans" w:hAnsi="Liberation Sans"/>
                <w:color w:val="1F2937"/>
                <w:sz w:val="19"/>
              </w:rPr>
              <w:t>These emotions reflect expectation failure: customers expected a familiar national chain to deliver basic consistency, responsiveness and reliability.</w:t>
            </w:r>
          </w:p>
        </w:tc>
      </w:tr>
    </w:tbl>
    <w:p>
      <w:pPr>
        <w:spacing w:after="20"/>
      </w:pPr>
    </w:p>
    <w:tbl>
      <w:tblPr>
        <w:tblW w:type="auto" w:w="0"/>
        <w:jc w:val="center"/>
        <w:tblLayout w:type="fixed"/>
        <w:tblLook w:firstColumn="1" w:firstRow="1" w:lastColumn="0" w:lastRow="0" w:noHBand="0" w:noVBand="1" w:val="04A0"/>
      </w:tblPr>
      <w:tblGrid>
        <w:gridCol w:w="202"/>
        <w:gridCol w:w="9000"/>
      </w:tblGrid>
      <w:tr>
        <w:tc>
          <w:tcPr>
            <w:tcW w:type="dxa" w:w="5112"/>
            <w:shd w:fill="E31837"/>
            <w:tcMar>
              <w:top w:w="60" w:type="dxa"/>
              <w:start w:w="0" w:type="dxa"/>
              <w:bottom w:w="60" w:type="dxa"/>
              <w:end w:w="0" w:type="dxa"/>
            </w:tcMar>
          </w:tcPr>
          <w:p/>
        </w:tc>
        <w:tc>
          <w:tcPr>
            <w:tcW w:type="dxa" w:w="5112"/>
            <w:shd w:fill="FDECEE"/>
            <w:tcMar>
              <w:top w:w="120" w:type="dxa"/>
              <w:start w:w="150" w:type="dxa"/>
              <w:bottom w:w="120" w:type="dxa"/>
              <w:end w:w="150" w:type="dxa"/>
            </w:tcMar>
          </w:tcPr>
          <w:p>
            <w:pPr>
              <w:spacing w:before="0" w:after="40" w:line="259" w:lineRule="auto"/>
            </w:pPr>
            <w:r>
              <w:rPr>
                <w:rFonts w:ascii="Liberation Sans" w:hAnsi="Liberation Sans"/>
                <w:b/>
                <w:color w:val="E31837"/>
                <w:sz w:val="21"/>
              </w:rPr>
              <w:t>ANGER ESCALATES WHEN RECOVERY FAILS.</w:t>
            </w:r>
          </w:p>
          <w:p>
            <w:pPr>
              <w:spacing w:before="0" w:after="0" w:line="259" w:lineRule="auto"/>
            </w:pPr>
            <w:r>
              <w:rPr>
                <w:rFonts w:ascii="Liberation Sans" w:hAnsi="Liberation Sans"/>
                <w:color w:val="1F2937"/>
                <w:sz w:val="19"/>
              </w:rPr>
              <w:t>Anger is particularly associated with unanswered calls, refunds, threats, perceived discrimination, unsafe driving, misleading tracker information and repeated failures.</w:t>
            </w:r>
          </w:p>
        </w:tc>
      </w:tr>
    </w:tbl>
    <w:p>
      <w:pPr>
        <w:spacing w:after="20"/>
      </w:pPr>
    </w:p>
    <w:tbl>
      <w:tblPr>
        <w:tblW w:type="auto" w:w="0"/>
        <w:jc w:val="center"/>
        <w:tblLayout w:type="fixed"/>
        <w:tblLook w:firstColumn="1" w:firstRow="1" w:lastColumn="0" w:lastRow="0" w:noHBand="0" w:noVBand="1" w:val="04A0"/>
      </w:tblPr>
      <w:tblGrid>
        <w:gridCol w:w="202"/>
        <w:gridCol w:w="9000"/>
      </w:tblGrid>
      <w:tr>
        <w:tc>
          <w:tcPr>
            <w:tcW w:type="dxa" w:w="5112"/>
            <w:shd w:fill="006491"/>
            <w:tcMar>
              <w:top w:w="60" w:type="dxa"/>
              <w:start w:w="0" w:type="dxa"/>
              <w:bottom w:w="60" w:type="dxa"/>
              <w:end w:w="0" w:type="dxa"/>
            </w:tcMar>
          </w:tcPr>
          <w:p/>
        </w:tc>
        <w:tc>
          <w:tcPr>
            <w:tcW w:type="dxa" w:w="5112"/>
            <w:shd w:fill="EAF4F8"/>
            <w:tcMar>
              <w:top w:w="120" w:type="dxa"/>
              <w:start w:w="150" w:type="dxa"/>
              <w:bottom w:w="120" w:type="dxa"/>
              <w:end w:w="150" w:type="dxa"/>
            </w:tcMar>
          </w:tcPr>
          <w:p>
            <w:pPr>
              <w:spacing w:before="0" w:after="40" w:line="259" w:lineRule="auto"/>
            </w:pPr>
            <w:r>
              <w:rPr>
                <w:rFonts w:ascii="Liberation Sans" w:hAnsi="Liberation Sans"/>
                <w:b/>
                <w:color w:val="006491"/>
                <w:sz w:val="21"/>
              </w:rPr>
              <w:t>JOY AND EXCITEMENT SHOW THE PRODUCT STILL CREATES DESIRE.</w:t>
            </w:r>
          </w:p>
          <w:p>
            <w:pPr>
              <w:spacing w:before="0" w:after="0" w:line="259" w:lineRule="auto"/>
            </w:pPr>
            <w:r>
              <w:rPr>
                <w:rFonts w:ascii="Liberation Sans" w:hAnsi="Liberation Sans"/>
                <w:color w:val="1F2937"/>
                <w:sz w:val="19"/>
              </w:rPr>
              <w:t>Positive emotion is driven by specific flavours, crusts, toppings, menu discoveries, visual appeal and cravings.</w:t>
            </w:r>
          </w:p>
        </w:tc>
      </w:tr>
    </w:tbl>
    <w:p>
      <w:pPr>
        <w:spacing w:after="20"/>
      </w:pPr>
    </w:p>
    <w:tbl>
      <w:tblPr>
        <w:tblW w:type="auto" w:w="0"/>
        <w:jc w:val="center"/>
        <w:tblLayout w:type="fixed"/>
        <w:tblLook w:firstColumn="1" w:firstRow="1" w:lastColumn="0" w:lastRow="0" w:noHBand="0" w:noVBand="1" w:val="04A0"/>
      </w:tblPr>
      <w:tblGrid>
        <w:gridCol w:w="202"/>
        <w:gridCol w:w="9000"/>
      </w:tblGrid>
      <w:tr>
        <w:tc>
          <w:tcPr>
            <w:tcW w:type="dxa" w:w="5112"/>
            <w:shd w:fill="16A34A"/>
            <w:tcMar>
              <w:top w:w="60" w:type="dxa"/>
              <w:start w:w="0" w:type="dxa"/>
              <w:bottom w:w="60" w:type="dxa"/>
              <w:end w:w="0" w:type="dxa"/>
            </w:tcMar>
          </w:tcPr>
          <w:p/>
        </w:tc>
        <w:tc>
          <w:tcPr>
            <w:tcW w:type="dxa" w:w="5112"/>
            <w:shd w:fill="EAF7EE"/>
            <w:tcMar>
              <w:top w:w="120" w:type="dxa"/>
              <w:start w:w="150" w:type="dxa"/>
              <w:bottom w:w="120" w:type="dxa"/>
              <w:end w:w="150" w:type="dxa"/>
            </w:tcMar>
          </w:tcPr>
          <w:p>
            <w:pPr>
              <w:spacing w:before="0" w:after="40" w:line="259" w:lineRule="auto"/>
            </w:pPr>
            <w:r>
              <w:rPr>
                <w:rFonts w:ascii="Liberation Sans" w:hAnsi="Liberation Sans"/>
                <w:b/>
                <w:color w:val="16A34A"/>
                <w:sz w:val="21"/>
              </w:rPr>
              <w:t>HOPE AND ANTICIPATION INDICATE CUSTOMERS STILL INVITE IMPROVEMENT.</w:t>
            </w:r>
          </w:p>
          <w:p>
            <w:pPr>
              <w:spacing w:before="0" w:after="0" w:line="259" w:lineRule="auto"/>
            </w:pPr>
            <w:r>
              <w:rPr>
                <w:rFonts w:ascii="Liberation Sans" w:hAnsi="Liberation Sans"/>
                <w:color w:val="1F2937"/>
                <w:sz w:val="19"/>
              </w:rPr>
              <w:t>Requests for vegan cheese, discontinued products, more cheese, menu innovation and market return show that many customers have not emotionally disengaged.</w:t>
            </w:r>
          </w:p>
        </w:tc>
      </w:tr>
    </w:tbl>
    <w:p>
      <w:pPr>
        <w:spacing w:after="20"/>
      </w:pPr>
    </w:p>
    <w:tbl>
      <w:tblPr>
        <w:tblW w:type="auto" w:w="0"/>
        <w:jc w:val="center"/>
        <w:tblLayout w:type="fixed"/>
        <w:tblLook w:firstColumn="1" w:firstRow="1" w:lastColumn="0" w:lastRow="0" w:noHBand="0" w:noVBand="1" w:val="04A0"/>
      </w:tblPr>
      <w:tblGrid>
        <w:gridCol w:w="202"/>
        <w:gridCol w:w="9000"/>
      </w:tblGrid>
      <w:tr>
        <w:tc>
          <w:tcPr>
            <w:tcW w:type="dxa" w:w="5112"/>
            <w:shd w:fill="F59E0B"/>
            <w:tcMar>
              <w:top w:w="60" w:type="dxa"/>
              <w:start w:w="0" w:type="dxa"/>
              <w:bottom w:w="60" w:type="dxa"/>
              <w:end w:w="0" w:type="dxa"/>
            </w:tcMar>
          </w:tcPr>
          <w:p/>
        </w:tc>
        <w:tc>
          <w:tcPr>
            <w:tcW w:type="dxa" w:w="5112"/>
            <w:shd w:fill="FFF4E0"/>
            <w:tcMar>
              <w:top w:w="120" w:type="dxa"/>
              <w:start w:w="150" w:type="dxa"/>
              <w:bottom w:w="120" w:type="dxa"/>
              <w:end w:w="150" w:type="dxa"/>
            </w:tcMar>
          </w:tcPr>
          <w:p>
            <w:pPr>
              <w:spacing w:before="0" w:after="40" w:line="259" w:lineRule="auto"/>
            </w:pPr>
            <w:r>
              <w:rPr>
                <w:rFonts w:ascii="Liberation Sans" w:hAnsi="Liberation Sans"/>
                <w:b/>
                <w:color w:val="F59E0B"/>
                <w:sz w:val="21"/>
              </w:rPr>
              <w:t>LOYALTY IS BOTH AN ASSET AND A CHURN WARNING.</w:t>
            </w:r>
          </w:p>
          <w:p>
            <w:pPr>
              <w:spacing w:before="0" w:after="0" w:line="259" w:lineRule="auto"/>
            </w:pPr>
            <w:r>
              <w:rPr>
                <w:rFonts w:ascii="Liberation Sans" w:hAnsi="Liberation Sans"/>
                <w:color w:val="1F2937"/>
                <w:sz w:val="19"/>
              </w:rPr>
              <w:t>Long-term customers describe go-to products and years of membership, but some also say they are done supporting the brand after repeated failures.</w:t>
            </w:r>
          </w:p>
        </w:tc>
      </w:tr>
    </w:tbl>
    <w:p>
      <w:pPr>
        <w:spacing w:after="20"/>
      </w:pPr>
    </w:p>
    <w:p>
      <w:pPr>
        <w:spacing w:before="0" w:after="120" w:line="259" w:lineRule="auto"/>
      </w:pPr>
      <w:r>
        <w:rPr>
          <w:rFonts w:ascii="Liberation Sans" w:hAnsi="Liberation Sans"/>
          <w:color w:val="1F2937"/>
          <w:sz w:val="20"/>
        </w:rPr>
        <w:t>Jealousy and relief were not materially observed in the supplied comments. Their 0% result should be interpreted as absence from this small sample, not proof that these emotions never occur in the wider customer base.</w:t>
      </w:r>
    </w:p>
    <w:p>
      <w:r>
        <w:br w:type="page"/>
      </w:r>
    </w:p>
    <w:p>
      <w:pPr>
        <w:keepNext/>
        <w:spacing w:before="80" w:after="80" w:line="259" w:lineRule="auto"/>
        <w:pBdr>
          <w:bottom w:val="single" w:sz="10" w:space="1" w:color="006491"/>
        </w:pBdr>
      </w:pPr>
      <w:r>
        <w:rPr>
          <w:rFonts w:ascii="Liberation Sans" w:hAnsi="Liberation Sans"/>
          <w:b/>
          <w:color w:val="E31837"/>
          <w:sz w:val="38"/>
        </w:rPr>
        <w:t xml:space="preserve">8. </w:t>
      </w:r>
      <w:r>
        <w:rPr>
          <w:rFonts w:ascii="Liberation Sans" w:hAnsi="Liberation Sans"/>
          <w:b/>
          <w:color w:val="006491"/>
          <w:sz w:val="38"/>
        </w:rPr>
        <w:t>Brand Perception Analysis</w:t>
      </w:r>
    </w:p>
    <w:p>
      <w:pPr>
        <w:spacing w:before="0" w:after="200" w:line="259" w:lineRule="auto"/>
      </w:pPr>
      <w:r>
        <w:rPr>
          <w:rFonts w:ascii="Liberation Sans" w:hAnsi="Liberation Sans"/>
          <w:i/>
          <w:color w:val="6B7280"/>
          <w:sz w:val="20"/>
        </w:rPr>
        <w:t>How customers describe Domino’s and what those descriptions imply.</w:t>
      </w:r>
    </w:p>
    <w:tbl>
      <w:tblPr>
        <w:tblW w:type="auto" w:w="0"/>
        <w:jc w:val="center"/>
        <w:tblLayout w:type="fixed"/>
        <w:tblLook w:firstColumn="1" w:firstRow="1" w:lastColumn="0" w:lastRow="0" w:noHBand="0" w:noVBand="1" w:val="04A0"/>
      </w:tblPr>
      <w:tblGrid>
        <w:gridCol w:w="2448"/>
        <w:gridCol w:w="4680"/>
        <w:gridCol w:w="2088"/>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Perception</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Evidence in Customer Language</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Business Meaning</w:t>
            </w:r>
          </w:p>
        </w:tc>
      </w:tr>
      <w:tr>
        <w:trPr>
          <w:cantSplit w:val="true"/>
        </w:trPr>
        <w:tc>
          <w:tcPr>
            <w:tcW w:type="dxa" w:w="24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Craveable and product-led</w:t>
            </w:r>
          </w:p>
        </w:tc>
        <w:tc>
          <w:tcPr>
            <w:tcW w:type="dxa" w:w="46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Taste, crust, cheese, toppings and named menu items create excitement and repeat-purchase intent.</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Strength to protect</w:t>
            </w:r>
          </w:p>
        </w:tc>
      </w:tr>
      <w:tr>
        <w:trPr>
          <w:cantSplit w:val="true"/>
        </w:trPr>
        <w:tc>
          <w:tcPr>
            <w:tcW w:type="dxa" w:w="24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Familiar and emotionally embedded</w:t>
            </w:r>
          </w:p>
        </w:tc>
        <w:tc>
          <w:tcPr>
            <w:tcW w:type="dxa" w:w="46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Customers use language such as “go-to,” “love,” “favourite,” “die hard fan” and long-term rewards membership.</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Loyalty asset</w:t>
            </w:r>
          </w:p>
        </w:tc>
      </w:tr>
      <w:tr>
        <w:trPr>
          <w:cantSplit w:val="true"/>
        </w:trPr>
        <w:tc>
          <w:tcPr>
            <w:tcW w:type="dxa" w:w="24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Deal-dependent rather than transparently priced</w:t>
            </w:r>
          </w:p>
        </w:tc>
        <w:tc>
          <w:tcPr>
            <w:tcW w:type="dxa" w:w="46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Several comments imply that full price is unrealistic, offers are confusing, or fees cancel the benefit of promotions.</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Value perception risk</w:t>
            </w:r>
          </w:p>
        </w:tc>
      </w:tr>
      <w:tr>
        <w:trPr>
          <w:cantSplit w:val="true"/>
        </w:trPr>
        <w:tc>
          <w:tcPr>
            <w:tcW w:type="dxa" w:w="24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Inconsistent across stores and occasions</w:t>
            </w:r>
          </w:p>
        </w:tc>
        <w:tc>
          <w:tcPr>
            <w:tcW w:type="dxa" w:w="46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Positive product experiences coexist with burnt, cold, smelly, under-topped, small or poorly presented orders.</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Operational consistency risk</w:t>
            </w:r>
          </w:p>
        </w:tc>
      </w:tr>
      <w:tr>
        <w:trPr>
          <w:cantSplit w:val="true"/>
        </w:trPr>
        <w:tc>
          <w:tcPr>
            <w:tcW w:type="dxa" w:w="24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Digitally convenient in promise, unreliable in execution</w:t>
            </w:r>
          </w:p>
        </w:tc>
        <w:tc>
          <w:tcPr>
            <w:tcW w:type="dxa" w:w="46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The app, payment flow, rewards, free-pizza links and tracker generate frustration when they fail or display inaccurate status.</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Digital trust gap</w:t>
            </w:r>
          </w:p>
        </w:tc>
      </w:tr>
      <w:tr>
        <w:trPr>
          <w:cantSplit w:val="true"/>
        </w:trPr>
        <w:tc>
          <w:tcPr>
            <w:tcW w:type="dxa" w:w="24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Weak at complaint recovery</w:t>
            </w:r>
          </w:p>
        </w:tc>
        <w:tc>
          <w:tcPr>
            <w:tcW w:type="dxa" w:w="46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Customers report unanswered calls, delayed refunds, no response to cases and staff indifference.</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Trust and churn risk</w:t>
            </w:r>
          </w:p>
        </w:tc>
      </w:tr>
      <w:tr>
        <w:trPr>
          <w:cantSplit w:val="true"/>
        </w:trPr>
        <w:tc>
          <w:tcPr>
            <w:tcW w:type="dxa" w:w="24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Menu with strong nostalgia and innovation potential</w:t>
            </w:r>
          </w:p>
        </w:tc>
        <w:tc>
          <w:tcPr>
            <w:tcW w:type="dxa" w:w="46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Customers request discontinued favourites while also asking for vegan cheese and localised flavours.</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Growth opportunity</w:t>
            </w:r>
          </w:p>
        </w:tc>
      </w:tr>
      <w:tr>
        <w:trPr>
          <w:cantSplit w:val="true"/>
        </w:trPr>
        <w:tc>
          <w:tcPr>
            <w:tcW w:type="dxa" w:w="24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Polarising, not irrelevant</w:t>
            </w:r>
          </w:p>
        </w:tc>
        <w:tc>
          <w:tcPr>
            <w:tcW w:type="dxa" w:w="46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The brand attracts intense love and intense anger. Strong emotional reaction indicates salience, but negative salience can damage advocacy.</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Brand equity at risk</w:t>
            </w:r>
          </w:p>
        </w:tc>
      </w:tr>
    </w:tbl>
    <w:p>
      <w:pPr>
        <w:keepNext/>
        <w:spacing w:before="160" w:after="80" w:line="259" w:lineRule="auto"/>
      </w:pPr>
      <w:r>
        <w:rPr>
          <w:rFonts w:ascii="Liberation Sans" w:hAnsi="Liberation Sans"/>
          <w:b/>
          <w:color w:val="1F2937"/>
          <w:sz w:val="24"/>
        </w:rPr>
        <w:t>Brand perception statement</w:t>
      </w:r>
    </w:p>
    <w:tbl>
      <w:tblPr>
        <w:tblW w:type="auto" w:w="0"/>
        <w:jc w:val="center"/>
        <w:tblLayout w:type="fixed"/>
        <w:tblLook w:firstColumn="1" w:firstRow="1" w:lastColumn="0" w:lastRow="0" w:noHBand="0" w:noVBand="1" w:val="04A0"/>
      </w:tblPr>
      <w:tblGrid>
        <w:gridCol w:w="202"/>
        <w:gridCol w:w="9000"/>
      </w:tblGrid>
      <w:tr>
        <w:tc>
          <w:tcPr>
            <w:tcW w:type="dxa" w:w="5112"/>
            <w:shd w:fill="006491"/>
            <w:tcMar>
              <w:top w:w="60" w:type="dxa"/>
              <w:start w:w="0" w:type="dxa"/>
              <w:bottom w:w="60" w:type="dxa"/>
              <w:end w:w="0" w:type="dxa"/>
            </w:tcMar>
          </w:tcPr>
          <w:p/>
        </w:tc>
        <w:tc>
          <w:tcPr>
            <w:tcW w:type="dxa" w:w="5112"/>
            <w:shd w:fill="EAF4F8"/>
            <w:tcMar>
              <w:top w:w="120" w:type="dxa"/>
              <w:start w:w="150" w:type="dxa"/>
              <w:bottom w:w="120" w:type="dxa"/>
              <w:end w:w="150" w:type="dxa"/>
            </w:tcMar>
          </w:tcPr>
          <w:p>
            <w:pPr>
              <w:spacing w:before="0" w:after="40" w:line="259" w:lineRule="auto"/>
            </w:pPr>
            <w:r>
              <w:rPr>
                <w:rFonts w:ascii="Liberation Sans" w:hAnsi="Liberation Sans"/>
                <w:b/>
                <w:color w:val="006491"/>
                <w:sz w:val="21"/>
              </w:rPr>
              <w:t>SYNTHESIS</w:t>
            </w:r>
          </w:p>
          <w:p>
            <w:pPr>
              <w:spacing w:before="0" w:after="0" w:line="259" w:lineRule="auto"/>
            </w:pPr>
            <w:r>
              <w:rPr>
                <w:rFonts w:ascii="Liberation Sans" w:hAnsi="Liberation Sans"/>
                <w:color w:val="1F2937"/>
                <w:sz w:val="19"/>
              </w:rPr>
              <w:t>In this sample, Domino's is perceived as a highly familiar, craveable and promotion-oriented pizza brand whose strongest weakness is not product awareness but inconsistent delivery of the promise across food preparation, fulfilment, people, pricing and digital channels.</w:t>
            </w:r>
          </w:p>
        </w:tc>
      </w:tr>
    </w:tbl>
    <w:p>
      <w:pPr>
        <w:spacing w:after="20"/>
      </w:pPr>
    </w:p>
    <w:p>
      <w:pPr>
        <w:keepNext/>
        <w:spacing w:before="160" w:after="80" w:line="259" w:lineRule="auto"/>
      </w:pPr>
      <w:r>
        <w:rPr>
          <w:rFonts w:ascii="Liberation Sans" w:hAnsi="Liberation Sans"/>
          <w:b/>
          <w:color w:val="1F2937"/>
          <w:sz w:val="24"/>
        </w:rPr>
        <w:t>Competitive benchmarking within the sample</w:t>
      </w:r>
    </w:p>
    <w:tbl>
      <w:tblPr>
        <w:tblW w:type="auto" w:w="0"/>
        <w:jc w:val="center"/>
        <w:tblLayout w:type="fixed"/>
        <w:tblLook w:firstColumn="1" w:firstRow="1" w:lastColumn="0" w:lastRow="0" w:noHBand="0" w:noVBand="1" w:val="04A0"/>
      </w:tblPr>
      <w:tblGrid>
        <w:gridCol w:w="2304"/>
        <w:gridCol w:w="1440"/>
        <w:gridCol w:w="5472"/>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Competitor / Alternative</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Mentions</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Interpretation</w:t>
            </w:r>
          </w:p>
        </w:tc>
      </w:tr>
      <w:tr>
        <w:trPr>
          <w:cantSplit w:val="true"/>
        </w:trPr>
        <w:tc>
          <w:tcPr>
            <w:tcW w:type="dxa" w:w="230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Local / independent outlets</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 comments</w:t>
            </w:r>
          </w:p>
        </w:tc>
        <w:tc>
          <w:tcPr>
            <w:tcW w:type="dxa" w:w="547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Local alternatives are treated as credible substitutes; one Lagos comment actively asks for better pizza places.</w:t>
            </w:r>
          </w:p>
        </w:tc>
      </w:tr>
      <w:tr>
        <w:trPr>
          <w:cantSplit w:val="true"/>
        </w:trPr>
        <w:tc>
          <w:tcPr>
            <w:tcW w:type="dxa" w:w="230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Pizza Hut</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 comments</w:t>
            </w:r>
          </w:p>
        </w:tc>
        <w:tc>
          <w:tcPr>
            <w:tcW w:type="dxa" w:w="547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Referenced in the context of UK deal pricing and a warning that poor service can lead to store closure.</w:t>
            </w:r>
          </w:p>
        </w:tc>
      </w:tr>
      <w:tr>
        <w:trPr>
          <w:cantSplit w:val="true"/>
        </w:trPr>
        <w:tc>
          <w:tcPr>
            <w:tcW w:type="dxa" w:w="230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Papa Johns</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 comments</w:t>
            </w:r>
          </w:p>
        </w:tc>
        <w:tc>
          <w:tcPr>
            <w:tcW w:type="dxa" w:w="547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Referenced in UK discount culture and a pan-pizza comparison.</w:t>
            </w:r>
          </w:p>
        </w:tc>
      </w:tr>
      <w:tr>
        <w:trPr>
          <w:cantSplit w:val="true"/>
        </w:trPr>
        <w:tc>
          <w:tcPr>
            <w:tcW w:type="dxa" w:w="230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Marcos</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 comment</w:t>
            </w:r>
          </w:p>
        </w:tc>
        <w:tc>
          <w:tcPr>
            <w:tcW w:type="dxa" w:w="547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An explicit switching intention caused by poor portion-value perception.</w:t>
            </w:r>
          </w:p>
        </w:tc>
      </w:tr>
      <w:tr>
        <w:trPr>
          <w:cantSplit w:val="true"/>
        </w:trPr>
        <w:tc>
          <w:tcPr>
            <w:tcW w:type="dxa" w:w="230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Unnamed chain competitors</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 comment</w:t>
            </w:r>
          </w:p>
        </w:tc>
        <w:tc>
          <w:tcPr>
            <w:tcW w:type="dxa" w:w="547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A customer calls Domino’s “comfortably the best chain pizza.”</w:t>
            </w:r>
          </w:p>
        </w:tc>
      </w:tr>
    </w:tbl>
    <w:p>
      <w:pPr>
        <w:spacing w:before="0" w:after="120" w:line="259" w:lineRule="auto"/>
      </w:pPr>
      <w:r>
        <w:rPr>
          <w:rFonts w:ascii="Liberation Sans" w:hAnsi="Liberation Sans"/>
          <w:color w:val="1F2937"/>
          <w:sz w:val="20"/>
        </w:rPr>
        <w:t>Only 10 unique comments contain a meaningful competitor or alternative reference, so the benchmark is qualitative. The evidence suggests Domino’s competitive advantage is taste, crust and brand familiarity, while switching risk is triggered by poor value and inconsistent execution.</w:t>
      </w:r>
    </w:p>
    <w:p>
      <w:pPr>
        <w:keepNext/>
        <w:spacing w:before="80" w:after="80" w:line="259" w:lineRule="auto"/>
        <w:pBdr>
          <w:bottom w:val="single" w:sz="10" w:space="1" w:color="006491"/>
        </w:pBdr>
      </w:pPr>
      <w:r>
        <w:rPr>
          <w:rFonts w:ascii="Liberation Sans" w:hAnsi="Liberation Sans"/>
          <w:b/>
          <w:color w:val="E31837"/>
          <w:sz w:val="38"/>
        </w:rPr>
        <w:t xml:space="preserve">9. </w:t>
      </w:r>
      <w:r>
        <w:rPr>
          <w:rFonts w:ascii="Liberation Sans" w:hAnsi="Liberation Sans"/>
          <w:b/>
          <w:color w:val="006491"/>
          <w:sz w:val="38"/>
        </w:rPr>
        <w:t>Aspect-Based Sentiment Analysis</w:t>
      </w:r>
    </w:p>
    <w:p>
      <w:pPr>
        <w:spacing w:before="0" w:after="200" w:line="259" w:lineRule="auto"/>
      </w:pPr>
      <w:r>
        <w:rPr>
          <w:rFonts w:ascii="Liberation Sans" w:hAnsi="Liberation Sans"/>
          <w:i/>
          <w:color w:val="6B7280"/>
          <w:sz w:val="20"/>
        </w:rPr>
        <w:t>Sentiment is assessed separately for each business aspect mentioned in a comment.</w:t>
      </w:r>
    </w:p>
    <w:p>
      <w:pPr>
        <w:keepNext/>
        <w:jc w:val="center"/>
      </w:pPr>
      <w:r>
        <w:drawing>
          <wp:inline xmlns:a="http://schemas.openxmlformats.org/drawingml/2006/main" xmlns:pic="http://schemas.openxmlformats.org/drawingml/2006/picture">
            <wp:extent cx="5715000" cy="4393752"/>
            <wp:docPr id="5" name="Picture 5"/>
            <wp:cNvGraphicFramePr>
              <a:graphicFrameLocks noChangeAspect="1"/>
            </wp:cNvGraphicFramePr>
            <a:graphic>
              <a:graphicData uri="http://schemas.openxmlformats.org/drawingml/2006/picture">
                <pic:pic>
                  <pic:nvPicPr>
                    <pic:cNvPr id="0" name="05_aspect_sentiment.png"/>
                    <pic:cNvPicPr/>
                  </pic:nvPicPr>
                  <pic:blipFill>
                    <a:blip r:embed="rId15"/>
                    <a:stretch>
                      <a:fillRect/>
                    </a:stretch>
                  </pic:blipFill>
                  <pic:spPr>
                    <a:xfrm>
                      <a:off x="0" y="0"/>
                      <a:ext cx="5715000" cy="4393752"/>
                    </a:xfrm>
                    <a:prstGeom prst="rect"/>
                  </pic:spPr>
                </pic:pic>
              </a:graphicData>
            </a:graphic>
          </wp:inline>
        </w:drawing>
      </w:r>
    </w:p>
    <w:p>
      <w:pPr>
        <w:spacing w:before="0" w:after="160" w:line="259" w:lineRule="auto"/>
        <w:jc w:val="center"/>
      </w:pPr>
      <w:r>
        <w:rPr>
          <w:rFonts w:ascii="Liberation Sans" w:hAnsi="Liberation Sans"/>
          <w:i/>
          <w:color w:val="6B7280"/>
          <w:sz w:val="17"/>
        </w:rPr>
        <w:t>Figure 5. Sentiment distribution within each aspect. The n-value indicates the number of comments that mention the aspect.</w:t>
      </w:r>
    </w:p>
    <w:tbl>
      <w:tblPr>
        <w:tblW w:type="auto" w:w="0"/>
        <w:jc w:val="center"/>
        <w:tblLayout w:type="fixed"/>
        <w:tblLook w:firstColumn="1" w:firstRow="1" w:lastColumn="0" w:lastRow="0" w:noHBand="0" w:noVBand="1" w:val="04A0"/>
      </w:tblPr>
      <w:tblGrid>
        <w:gridCol w:w="2376"/>
        <w:gridCol w:w="648"/>
        <w:gridCol w:w="936"/>
        <w:gridCol w:w="936"/>
        <w:gridCol w:w="4320"/>
      </w:tblGrid>
      <w:tr>
        <w:trPr>
          <w:tblHeader w:val="true"/>
          <w:cantSplit w:val="true"/>
        </w:trPr>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Aspect</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n</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Positive</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Negative</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Executive Interpretation</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Taste &amp; flavour</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68</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41%</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40%</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Polarised: major praise driver and major quality risk.</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Brand affinity &amp; marketing engagement</w:t>
            </w:r>
          </w:p>
        </w:tc>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48</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58%</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17%</w:t>
            </w:r>
          </w:p>
        </w:tc>
        <w:tc>
          <w:tcPr>
            <w:tcW w:type="dxa" w:w="43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Strong positive equity and engagement potential.</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Food quality &amp; freshness</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44</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7%</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82%</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Critical consistency gap.</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Menu variety &amp; availability</w:t>
            </w:r>
          </w:p>
        </w:tc>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39</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38%</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33%</w:t>
            </w:r>
          </w:p>
        </w:tc>
        <w:tc>
          <w:tcPr>
            <w:tcW w:type="dxa" w:w="43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Mixed demand: favourites, innovation and discontinuation pain.</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Customer service &amp; recovery</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32</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3%</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91%</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Severe trust and recovery weakness.</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Portion size &amp; toppings</w:t>
            </w:r>
          </w:p>
        </w:tc>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29</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21%</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59%</w:t>
            </w:r>
          </w:p>
        </w:tc>
        <w:tc>
          <w:tcPr>
            <w:tcW w:type="dxa" w:w="43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Requires store-level standardisation and monitoring.</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Order accuracy &amp; fulfilment</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26</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4%</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96%</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Near-uniform failure perception.</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Staff behaviour &amp; professionalism</w:t>
            </w:r>
          </w:p>
        </w:tc>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26</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0%</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85%</w:t>
            </w:r>
          </w:p>
        </w:tc>
        <w:tc>
          <w:tcPr>
            <w:tcW w:type="dxa" w:w="43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Requires store-level standardisation and monitoring.</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Price &amp; value</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24</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21%</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71%</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Deals help, but value and fee concerns dominate.</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Delivery &amp; driver conduct</w:t>
            </w:r>
          </w:p>
        </w:tc>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24</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0%</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92%</w:t>
            </w:r>
          </w:p>
        </w:tc>
        <w:tc>
          <w:tcPr>
            <w:tcW w:type="dxa" w:w="43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Requires store-level standardisation and monitoring.</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Waiting time &amp; readiness</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24</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0%</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100%</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Uniformly negative in this sample.</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Promotions, rewards &amp; fees</w:t>
            </w:r>
          </w:p>
        </w:tc>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22</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32%</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46%</w:t>
            </w:r>
          </w:p>
        </w:tc>
        <w:tc>
          <w:tcPr>
            <w:tcW w:type="dxa" w:w="43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Requires store-level standardisation and monitoring.</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Packaging &amp; presentation</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18</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6%</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89%</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Requires store-level standardisation and monitoring.</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Hygiene, safety &amp; accessibility</w:t>
            </w:r>
          </w:p>
        </w:tc>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18</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0%</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100%</w:t>
            </w:r>
          </w:p>
        </w:tc>
        <w:tc>
          <w:tcPr>
            <w:tcW w:type="dxa" w:w="43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High-risk compliance and reputation issue.</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Digital ordering, app &amp; tracker</w:t>
            </w:r>
          </w:p>
        </w:tc>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17</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6%</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88%</w:t>
            </w:r>
          </w:p>
        </w:tc>
        <w:tc>
          <w:tcPr>
            <w:tcW w:type="dxa" w:w="43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Reliability gap undermines convenience promise.</w:t>
            </w:r>
          </w:p>
        </w:tc>
      </w:tr>
    </w:tbl>
    <w:p>
      <w:pPr>
        <w:keepNext/>
        <w:spacing w:before="160" w:after="80" w:line="259" w:lineRule="auto"/>
      </w:pPr>
      <w:r>
        <w:rPr>
          <w:rFonts w:ascii="Liberation Sans" w:hAnsi="Liberation Sans"/>
          <w:b/>
          <w:color w:val="1F2937"/>
          <w:sz w:val="24"/>
        </w:rPr>
        <w:t>Highest-priority aspect findings</w:t>
      </w:r>
    </w:p>
    <w:p>
      <w:pPr>
        <w:pStyle w:val="ListBullet"/>
        <w:spacing w:before="0" w:after="60" w:line="259" w:lineRule="auto"/>
      </w:pPr>
      <w:r>
        <w:rPr>
          <w:rFonts w:ascii="Liberation Sans" w:hAnsi="Liberation Sans"/>
          <w:color w:val="1F2937"/>
          <w:sz w:val="20"/>
        </w:rPr>
        <w:t>Waiting time and readiness: 24 mentions, all negative. Customers describe inaccurate estimates, orders sitting in “quality check,” and orders not being prepared when promised.</w:t>
      </w:r>
    </w:p>
    <w:p>
      <w:pPr>
        <w:pStyle w:val="ListBullet"/>
        <w:spacing w:before="0" w:after="60" w:line="259" w:lineRule="auto"/>
      </w:pPr>
      <w:r>
        <w:rPr>
          <w:rFonts w:ascii="Liberation Sans" w:hAnsi="Liberation Sans"/>
          <w:color w:val="1F2937"/>
          <w:sz w:val="20"/>
        </w:rPr>
        <w:t>Order accuracy and fulfilment: 26 mentions, 25 negative. Wrong, missing, undelivered or under-topped orders are a core operational failure theme.</w:t>
      </w:r>
    </w:p>
    <w:p>
      <w:pPr>
        <w:pStyle w:val="ListBullet"/>
        <w:spacing w:before="0" w:after="60" w:line="259" w:lineRule="auto"/>
      </w:pPr>
      <w:r>
        <w:rPr>
          <w:rFonts w:ascii="Liberation Sans" w:hAnsi="Liberation Sans"/>
          <w:color w:val="1F2937"/>
          <w:sz w:val="20"/>
        </w:rPr>
        <w:t>Customer service and recovery: 32 mentions, 29 negative. The brand’s response after a failure often appears to intensify the original complaint.</w:t>
      </w:r>
    </w:p>
    <w:p>
      <w:pPr>
        <w:pStyle w:val="ListBullet"/>
        <w:spacing w:before="0" w:after="60" w:line="259" w:lineRule="auto"/>
      </w:pPr>
      <w:r>
        <w:rPr>
          <w:rFonts w:ascii="Liberation Sans" w:hAnsi="Liberation Sans"/>
          <w:color w:val="1F2937"/>
          <w:sz w:val="20"/>
        </w:rPr>
        <w:t>Hygiene, safety and accessibility: 18 mentions, all negative. Reports include glass, unpleasant smells, illness concerns, glove requests, unsafe driving, threats, discrimination and service-dog denial.</w:t>
      </w:r>
    </w:p>
    <w:p>
      <w:pPr>
        <w:pStyle w:val="ListBullet"/>
        <w:spacing w:before="0" w:after="60" w:line="259" w:lineRule="auto"/>
      </w:pPr>
      <w:r>
        <w:rPr>
          <w:rFonts w:ascii="Liberation Sans" w:hAnsi="Liberation Sans"/>
          <w:color w:val="1F2937"/>
          <w:sz w:val="20"/>
        </w:rPr>
        <w:t>Taste and flavour: 68 mentions with 28 positive, 27 negative and 6 mixed. Product appeal is powerful but inconsistent.</w:t>
      </w:r>
    </w:p>
    <w:p>
      <w:r>
        <w:br w:type="page"/>
      </w:r>
    </w:p>
    <w:p>
      <w:pPr>
        <w:keepNext/>
        <w:spacing w:before="80" w:after="80" w:line="259" w:lineRule="auto"/>
        <w:pBdr>
          <w:bottom w:val="single" w:sz="10" w:space="1" w:color="006491"/>
        </w:pBdr>
      </w:pPr>
      <w:r>
        <w:rPr>
          <w:rFonts w:ascii="Liberation Sans" w:hAnsi="Liberation Sans"/>
          <w:b/>
          <w:color w:val="E31837"/>
          <w:sz w:val="38"/>
        </w:rPr>
        <w:t xml:space="preserve">10. </w:t>
      </w:r>
      <w:r>
        <w:rPr>
          <w:rFonts w:ascii="Liberation Sans" w:hAnsi="Liberation Sans"/>
          <w:b/>
          <w:color w:val="006491"/>
          <w:sz w:val="38"/>
        </w:rPr>
        <w:t>Topic Analysis</w:t>
      </w:r>
    </w:p>
    <w:p>
      <w:pPr>
        <w:spacing w:before="0" w:after="200" w:line="259" w:lineRule="auto"/>
      </w:pPr>
      <w:r>
        <w:rPr>
          <w:rFonts w:ascii="Liberation Sans" w:hAnsi="Liberation Sans"/>
          <w:i/>
          <w:color w:val="6B7280"/>
          <w:sz w:val="20"/>
        </w:rPr>
        <w:t>Recurring discussion themes ranked by frequency. A comment can contribute to multiple topics.</w:t>
      </w:r>
    </w:p>
    <w:p>
      <w:pPr>
        <w:keepNext/>
        <w:jc w:val="center"/>
      </w:pPr>
      <w:r>
        <w:drawing>
          <wp:inline xmlns:a="http://schemas.openxmlformats.org/drawingml/2006/main" xmlns:pic="http://schemas.openxmlformats.org/drawingml/2006/picture">
            <wp:extent cx="5806440" cy="3582697"/>
            <wp:docPr id="6" name="Picture 6"/>
            <wp:cNvGraphicFramePr>
              <a:graphicFrameLocks noChangeAspect="1"/>
            </wp:cNvGraphicFramePr>
            <a:graphic>
              <a:graphicData uri="http://schemas.openxmlformats.org/drawingml/2006/picture">
                <pic:pic>
                  <pic:nvPicPr>
                    <pic:cNvPr id="0" name="06_topic_frequency.png"/>
                    <pic:cNvPicPr/>
                  </pic:nvPicPr>
                  <pic:blipFill>
                    <a:blip r:embed="rId16"/>
                    <a:stretch>
                      <a:fillRect/>
                    </a:stretch>
                  </pic:blipFill>
                  <pic:spPr>
                    <a:xfrm>
                      <a:off x="0" y="0"/>
                      <a:ext cx="5806440" cy="3582697"/>
                    </a:xfrm>
                    <a:prstGeom prst="rect"/>
                  </pic:spPr>
                </pic:pic>
              </a:graphicData>
            </a:graphic>
          </wp:inline>
        </w:drawing>
      </w:r>
    </w:p>
    <w:p>
      <w:pPr>
        <w:spacing w:before="0" w:after="160" w:line="259" w:lineRule="auto"/>
        <w:jc w:val="center"/>
      </w:pPr>
      <w:r>
        <w:rPr>
          <w:rFonts w:ascii="Liberation Sans" w:hAnsi="Liberation Sans"/>
          <w:i/>
          <w:color w:val="6B7280"/>
          <w:sz w:val="17"/>
        </w:rPr>
        <w:t>Figure 6. Top recurring topics by number of comment mentions.</w:t>
      </w:r>
    </w:p>
    <w:tbl>
      <w:tblPr>
        <w:tblW w:type="auto" w:w="0"/>
        <w:jc w:val="center"/>
        <w:tblLayout w:type="fixed"/>
        <w:tblLook w:firstColumn="1" w:firstRow="1" w:lastColumn="0" w:lastRow="0" w:noHBand="0" w:noVBand="1" w:val="04A0"/>
      </w:tblPr>
      <w:tblGrid>
        <w:gridCol w:w="792"/>
        <w:gridCol w:w="6120"/>
        <w:gridCol w:w="1152"/>
        <w:gridCol w:w="1440"/>
      </w:tblGrid>
      <w:tr>
        <w:trPr>
          <w:tblHeader w:val="true"/>
          <w:cantSplit w:val="true"/>
        </w:trPr>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Rank</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Topic</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Mentions</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Share of Comments</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Taste &amp; flavour</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68</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52.7%</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2</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Brand affinity &amp; marketing engagement</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48</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37.2%</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3</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Food quality &amp; freshness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44</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34.1%</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4</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Menu variety &amp; availability</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39</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30.2%</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5</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Customer service &amp; recovery</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32</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24.8%</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6</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Portion size &amp; toppings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29</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22.5%</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7</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Order accuracy &amp; fulfilment</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26</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8</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Staff behaviour &amp; professionalism</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26</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20.2%</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9</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Price &amp; value</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24</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18.6%</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10</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Delivery &amp; driver conduct</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24</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18.6%</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11</w:t>
            </w:r>
          </w:p>
        </w:tc>
        <w:tc>
          <w:tcPr>
            <w:tcW w:type="dxa" w:w="61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Waiting time &amp; readiness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24</w:t>
            </w:r>
          </w:p>
        </w:tc>
        <w:tc>
          <w:tcPr>
            <w:tcW w:type="dxa" w:w="14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18.6%</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12</w:t>
            </w:r>
          </w:p>
        </w:tc>
        <w:tc>
          <w:tcPr>
            <w:tcW w:type="dxa" w:w="61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Promotions, rewards &amp; fees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22</w:t>
            </w:r>
          </w:p>
        </w:tc>
        <w:tc>
          <w:tcPr>
            <w:tcW w:type="dxa" w:w="14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17.1%</w:t>
            </w:r>
          </w:p>
        </w:tc>
      </w:tr>
    </w:tbl>
    <w:p>
      <w:pPr>
        <w:spacing w:before="0" w:after="120" w:line="259" w:lineRule="auto"/>
      </w:pPr>
      <w:r>
        <w:rPr>
          <w:rFonts w:ascii="Liberation Sans" w:hAnsi="Liberation Sans"/>
          <w:color w:val="1F2937"/>
          <w:sz w:val="20"/>
        </w:rPr>
        <w:t>The topic structure confirms that customer discussion is product-led but operationally constrained. Taste and brand affinity generate the largest conversation volume, while food quality, customer service, fulfilment, staff behaviour, delivery, waiting and price concerns dominate the risk agenda.</w:t>
      </w:r>
    </w:p>
    <w:tbl>
      <w:tblPr>
        <w:tblW w:type="auto" w:w="0"/>
        <w:jc w:val="center"/>
        <w:tblLayout w:type="fixed"/>
        <w:tblLook w:firstColumn="1" w:firstRow="1" w:lastColumn="0" w:lastRow="0" w:noHBand="0" w:noVBand="1" w:val="04A0"/>
      </w:tblPr>
      <w:tblGrid>
        <w:gridCol w:w="202"/>
        <w:gridCol w:w="9000"/>
      </w:tblGrid>
      <w:tr>
        <w:tc>
          <w:tcPr>
            <w:tcW w:type="dxa" w:w="5112"/>
            <w:shd w:fill="006491"/>
            <w:tcMar>
              <w:top w:w="60" w:type="dxa"/>
              <w:start w:w="0" w:type="dxa"/>
              <w:bottom w:w="60" w:type="dxa"/>
              <w:end w:w="0" w:type="dxa"/>
            </w:tcMar>
          </w:tcPr>
          <w:p/>
        </w:tc>
        <w:tc>
          <w:tcPr>
            <w:tcW w:type="dxa" w:w="5112"/>
            <w:shd w:fill="EAF4F8"/>
            <w:tcMar>
              <w:top w:w="120" w:type="dxa"/>
              <w:start w:w="150" w:type="dxa"/>
              <w:bottom w:w="120" w:type="dxa"/>
              <w:end w:w="150" w:type="dxa"/>
            </w:tcMar>
          </w:tcPr>
          <w:p>
            <w:pPr>
              <w:spacing w:before="0" w:after="40" w:line="259" w:lineRule="auto"/>
            </w:pPr>
            <w:r>
              <w:rPr>
                <w:rFonts w:ascii="Liberation Sans" w:hAnsi="Liberation Sans"/>
                <w:b/>
                <w:color w:val="006491"/>
                <w:sz w:val="21"/>
              </w:rPr>
              <w:t>TOPIC IMPLICATION</w:t>
            </w:r>
          </w:p>
          <w:p>
            <w:pPr>
              <w:spacing w:before="0" w:after="0" w:line="259" w:lineRule="auto"/>
            </w:pPr>
            <w:r>
              <w:rPr>
                <w:rFonts w:ascii="Liberation Sans" w:hAnsi="Liberation Sans"/>
                <w:color w:val="1F2937"/>
                <w:sz w:val="19"/>
              </w:rPr>
              <w:t>Marketing can continue to use flavour, cravings and product fandom to create demand, but operations and customer experience must prevent those campaigns from generating disappointment when stores cannot consistently fulfil the promise.</w:t>
            </w:r>
          </w:p>
        </w:tc>
      </w:tr>
    </w:tbl>
    <w:p>
      <w:pPr>
        <w:spacing w:after="20"/>
      </w:pPr>
    </w:p>
    <w:p>
      <w:pPr>
        <w:keepNext/>
        <w:spacing w:before="80" w:after="80" w:line="259" w:lineRule="auto"/>
        <w:pBdr>
          <w:bottom w:val="single" w:sz="10" w:space="1" w:color="006491"/>
        </w:pBdr>
      </w:pPr>
      <w:r>
        <w:rPr>
          <w:rFonts w:ascii="Liberation Sans" w:hAnsi="Liberation Sans"/>
          <w:b/>
          <w:color w:val="E31837"/>
          <w:sz w:val="38"/>
        </w:rPr>
        <w:t xml:space="preserve">11. </w:t>
      </w:r>
      <w:r>
        <w:rPr>
          <w:rFonts w:ascii="Liberation Sans" w:hAnsi="Liberation Sans"/>
          <w:b/>
          <w:color w:val="006491"/>
          <w:sz w:val="38"/>
        </w:rPr>
        <w:t>Entity Analysis (Named Entity Recognition)</w:t>
      </w:r>
    </w:p>
    <w:p>
      <w:pPr>
        <w:spacing w:before="0" w:after="200" w:line="259" w:lineRule="auto"/>
      </w:pPr>
      <w:r>
        <w:rPr>
          <w:rFonts w:ascii="Liberation Sans" w:hAnsi="Liberation Sans"/>
          <w:i/>
          <w:color w:val="6B7280"/>
          <w:sz w:val="20"/>
        </w:rPr>
        <w:t>Manually reviewed extraction of products, locations, people and competitor references.</w:t>
      </w:r>
    </w:p>
    <w:p>
      <w:pPr>
        <w:keepNext/>
        <w:spacing w:before="160" w:after="80" w:line="259" w:lineRule="auto"/>
      </w:pPr>
      <w:r>
        <w:rPr>
          <w:rFonts w:ascii="Liberation Sans" w:hAnsi="Liberation Sans"/>
          <w:b/>
          <w:color w:val="1F2937"/>
          <w:sz w:val="24"/>
        </w:rPr>
        <w:t>Top product and menu entities</w:t>
      </w:r>
    </w:p>
    <w:tbl>
      <w:tblPr>
        <w:tblW w:type="auto" w:w="0"/>
        <w:jc w:val="center"/>
        <w:tblLayout w:type="fixed"/>
        <w:tblLook w:firstColumn="1" w:firstRow="1" w:lastColumn="0" w:lastRow="0" w:noHBand="0" w:noVBand="1" w:val="04A0"/>
      </w:tblPr>
      <w:tblGrid>
        <w:gridCol w:w="4608"/>
        <w:gridCol w:w="1152"/>
        <w:gridCol w:w="3456"/>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Product / Menu Entity</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Mentions</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Comment IDs</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Vegan / dairy-free cheese</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35, 41, 45, 46, 122</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Emergency Pizza</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124, 125, 126, 127</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Garlic bread / bites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19, 31, 40, 96</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Pasta / Italian Sausage Marinara</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18, 28, 36, 37</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Thin crust</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6, 9, 10, 11</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Brooklyn crust/style</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10, 53, 54</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Sandwiches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18, 104</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Alfredo pizza</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81</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Bread bowl</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129</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Brownies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61</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Buffalo Chicken Pizza</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38</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Cheese Burst</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19</w:t>
            </w:r>
          </w:p>
        </w:tc>
      </w:tr>
    </w:tbl>
    <w:p>
      <w:pPr>
        <w:keepNext/>
        <w:spacing w:before="160" w:after="80" w:line="259" w:lineRule="auto"/>
      </w:pPr>
      <w:r>
        <w:rPr>
          <w:rFonts w:ascii="Liberation Sans" w:hAnsi="Liberation Sans"/>
          <w:b/>
          <w:color w:val="1F2937"/>
          <w:sz w:val="24"/>
        </w:rPr>
        <w:t>Location entities</w:t>
      </w:r>
    </w:p>
    <w:tbl>
      <w:tblPr>
        <w:tblW w:type="auto" w:w="0"/>
        <w:jc w:val="center"/>
        <w:tblLayout w:type="fixed"/>
        <w:tblLook w:firstColumn="1" w:firstRow="1" w:lastColumn="0" w:lastRow="0" w:noHBand="0" w:noVBand="1" w:val="04A0"/>
      </w:tblPr>
      <w:tblGrid>
        <w:gridCol w:w="4608"/>
        <w:gridCol w:w="1152"/>
        <w:gridCol w:w="3456"/>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6"/>
              </w:rPr>
              <w:t>Location Entity</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6"/>
              </w:rPr>
              <w:t>Mentions</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6"/>
              </w:rPr>
              <w:t>Comment IDs</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India</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7</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19, 20, 25, 29, 30, 31, 40</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United Kingdom</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5</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14, 15, 16, 17, 21</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Canada / Ontario</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2</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12, 43</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Lagos, Nigeria</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2</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64, 65</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Atlanta, Georgia</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36</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Cambridge / KWC, Ontario</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43</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Carrollton / New Orleans, Louisiana</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108</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Chicago, Illinois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13</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Columbia, Maryland</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96</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Cranston, Rhode Island</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104</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Detroit, Michigan</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49</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Doral, Florida</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44</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Kishangarh (spelled Krishangarh)</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31</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Maurice, Louisiana</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95</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Noida</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30</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Pittsfield, Massachusetts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101</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Plainview, Texas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107</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South Africa (SA)</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89</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Thiruvanmiyur / Chennai</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25</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Wheatland / Duncanville, Texas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50</w:t>
            </w:r>
          </w:p>
        </w:tc>
      </w:tr>
    </w:tbl>
    <w:p>
      <w:pPr>
        <w:keepNext/>
        <w:spacing w:before="160" w:after="80" w:line="259" w:lineRule="auto"/>
      </w:pPr>
      <w:r>
        <w:rPr>
          <w:rFonts w:ascii="Liberation Sans" w:hAnsi="Liberation Sans"/>
          <w:b/>
          <w:color w:val="1F2937"/>
          <w:sz w:val="24"/>
        </w:rPr>
        <w:t>People and role entities</w:t>
      </w:r>
    </w:p>
    <w:tbl>
      <w:tblPr>
        <w:tblW w:type="auto" w:w="0"/>
        <w:jc w:val="center"/>
        <w:tblLayout w:type="fixed"/>
        <w:tblLook w:firstColumn="1" w:firstRow="1" w:lastColumn="0" w:lastRow="0" w:noHBand="0" w:noVBand="1" w:val="04A0"/>
      </w:tblPr>
      <w:tblGrid>
        <w:gridCol w:w="4608"/>
        <w:gridCol w:w="1152"/>
        <w:gridCol w:w="3456"/>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Named Person</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Mentions</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Comment IDs</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Polar (content creator nickname)</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2, 4</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Lewis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r>
      <w:tr>
        <w:trPr>
          <w:cantSplit w:val="true"/>
        </w:trPr>
        <w:tc>
          <w:tcPr>
            <w:tcW w:type="dxa" w:w="460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Joe</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w:t>
            </w:r>
          </w:p>
        </w:tc>
      </w:tr>
      <w:tr>
        <w:trPr>
          <w:cantSplit w:val="true"/>
        </w:trPr>
        <w:tc>
          <w:tcPr>
            <w:tcW w:type="dxa" w:w="460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Rebecca Manning</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345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50</w:t>
            </w:r>
          </w:p>
        </w:tc>
      </w:tr>
    </w:tbl>
    <w:p>
      <w:pPr>
        <w:spacing w:before="0" w:after="120" w:line="259" w:lineRule="auto"/>
      </w:pPr>
      <w:r>
        <w:rPr>
          <w:rFonts w:ascii="Liberation Sans" w:hAnsi="Liberation Sans"/>
          <w:color w:val="1F2937"/>
          <w:sz w:val="20"/>
        </w:rPr>
        <w:t>Most employee references are role-based rather than personally named: manager, assistant manager, driver, rider, delivery executive, employee and store staff. This means the strongest actionable entity is usually the store location or role category, not a specific individual.</w:t>
      </w:r>
    </w:p>
    <w:tbl>
      <w:tblPr>
        <w:tblW w:type="auto" w:w="0"/>
        <w:jc w:val="center"/>
        <w:tblLayout w:type="fixed"/>
        <w:tblLook w:firstColumn="1" w:firstRow="1" w:lastColumn="0" w:lastRow="0" w:noHBand="0" w:noVBand="1" w:val="04A0"/>
      </w:tblPr>
      <w:tblGrid>
        <w:gridCol w:w="202"/>
        <w:gridCol w:w="9000"/>
      </w:tblGrid>
      <w:tr>
        <w:tc>
          <w:tcPr>
            <w:tcW w:type="dxa" w:w="5112"/>
            <w:shd w:fill="6B7280"/>
            <w:tcMar>
              <w:top w:w="60" w:type="dxa"/>
              <w:start w:w="0" w:type="dxa"/>
              <w:bottom w:w="60" w:type="dxa"/>
              <w:end w:w="0" w:type="dxa"/>
            </w:tcMar>
          </w:tcPr>
          <w:p/>
        </w:tc>
        <w:tc>
          <w:tcPr>
            <w:tcW w:type="dxa" w:w="5112"/>
            <w:shd w:fill="F3F4F6"/>
            <w:tcMar>
              <w:top w:w="120" w:type="dxa"/>
              <w:start w:w="150" w:type="dxa"/>
              <w:bottom w:w="120" w:type="dxa"/>
              <w:end w:w="150" w:type="dxa"/>
            </w:tcMar>
          </w:tcPr>
          <w:p>
            <w:pPr>
              <w:spacing w:before="0" w:after="40" w:line="259" w:lineRule="auto"/>
            </w:pPr>
            <w:r>
              <w:rPr>
                <w:rFonts w:ascii="Liberation Sans" w:hAnsi="Liberation Sans"/>
                <w:b/>
                <w:color w:val="6B7280"/>
                <w:sz w:val="21"/>
              </w:rPr>
              <w:t>ENTITY GOVERNANCE</w:t>
            </w:r>
          </w:p>
          <w:p>
            <w:pPr>
              <w:spacing w:before="0" w:after="0" w:line="259" w:lineRule="auto"/>
            </w:pPr>
            <w:r>
              <w:rPr>
                <w:rFonts w:ascii="Liberation Sans" w:hAnsi="Liberation Sans"/>
                <w:color w:val="1F2937"/>
                <w:sz w:val="19"/>
              </w:rPr>
              <w:t>Names, case IDs, order references and public allegations in raw comments are unverified. They should be routed into a controlled investigation process and not treated as confirmed facts without operational validation.</w:t>
            </w:r>
          </w:p>
        </w:tc>
      </w:tr>
    </w:tbl>
    <w:p>
      <w:pPr>
        <w:spacing w:after="20"/>
      </w:pPr>
    </w:p>
    <w:p>
      <w:r>
        <w:br w:type="page"/>
      </w:r>
    </w:p>
    <w:p>
      <w:pPr>
        <w:keepNext/>
        <w:spacing w:before="80" w:after="80" w:line="259" w:lineRule="auto"/>
        <w:pBdr>
          <w:bottom w:val="single" w:sz="10" w:space="1" w:color="006491"/>
        </w:pBdr>
      </w:pPr>
      <w:r>
        <w:rPr>
          <w:rFonts w:ascii="Liberation Sans" w:hAnsi="Liberation Sans"/>
          <w:b/>
          <w:color w:val="E31837"/>
          <w:sz w:val="38"/>
        </w:rPr>
        <w:t xml:space="preserve">12. </w:t>
      </w:r>
      <w:r>
        <w:rPr>
          <w:rFonts w:ascii="Liberation Sans" w:hAnsi="Liberation Sans"/>
          <w:b/>
          <w:color w:val="006491"/>
          <w:sz w:val="38"/>
        </w:rPr>
        <w:t>Complaint Analysis</w:t>
      </w:r>
    </w:p>
    <w:p>
      <w:pPr>
        <w:spacing w:before="0" w:after="200" w:line="259" w:lineRule="auto"/>
      </w:pPr>
      <w:r>
        <w:rPr>
          <w:rFonts w:ascii="Liberation Sans" w:hAnsi="Liberation Sans"/>
          <w:i/>
          <w:color w:val="6B7280"/>
          <w:sz w:val="20"/>
        </w:rPr>
        <w:t>Complaint categories are multi-label because one experience can contain several failures.</w:t>
      </w:r>
    </w:p>
    <w:p>
      <w:pPr>
        <w:keepNext/>
        <w:jc w:val="center"/>
      </w:pPr>
      <w:r>
        <w:drawing>
          <wp:inline xmlns:a="http://schemas.openxmlformats.org/drawingml/2006/main" xmlns:pic="http://schemas.openxmlformats.org/drawingml/2006/picture">
            <wp:extent cx="5806440" cy="3504163"/>
            <wp:docPr id="7" name="Picture 7"/>
            <wp:cNvGraphicFramePr>
              <a:graphicFrameLocks noChangeAspect="1"/>
            </wp:cNvGraphicFramePr>
            <a:graphic>
              <a:graphicData uri="http://schemas.openxmlformats.org/drawingml/2006/picture">
                <pic:pic>
                  <pic:nvPicPr>
                    <pic:cNvPr id="0" name="07_complaint_categories.png"/>
                    <pic:cNvPicPr/>
                  </pic:nvPicPr>
                  <pic:blipFill>
                    <a:blip r:embed="rId17"/>
                    <a:stretch>
                      <a:fillRect/>
                    </a:stretch>
                  </pic:blipFill>
                  <pic:spPr>
                    <a:xfrm>
                      <a:off x="0" y="0"/>
                      <a:ext cx="5806440" cy="3504163"/>
                    </a:xfrm>
                    <a:prstGeom prst="rect"/>
                  </pic:spPr>
                </pic:pic>
              </a:graphicData>
            </a:graphic>
          </wp:inline>
        </w:drawing>
      </w:r>
    </w:p>
    <w:p>
      <w:pPr>
        <w:spacing w:before="0" w:after="160" w:line="259" w:lineRule="auto"/>
        <w:jc w:val="center"/>
      </w:pPr>
      <w:r>
        <w:rPr>
          <w:rFonts w:ascii="Liberation Sans" w:hAnsi="Liberation Sans"/>
          <w:i/>
          <w:color w:val="6B7280"/>
          <w:sz w:val="17"/>
        </w:rPr>
        <w:t>Figure 7. Most frequent complaint categories in the supplied sample.</w:t>
      </w:r>
    </w:p>
    <w:tbl>
      <w:tblPr>
        <w:tblW w:type="auto" w:w="0"/>
        <w:jc w:val="center"/>
        <w:tblLayout w:type="fixed"/>
        <w:tblLook w:firstColumn="1" w:firstRow="1" w:lastColumn="0" w:lastRow="0" w:noHBand="0" w:noVBand="1" w:val="04A0"/>
      </w:tblPr>
      <w:tblGrid>
        <w:gridCol w:w="720"/>
        <w:gridCol w:w="6264"/>
        <w:gridCol w:w="1152"/>
        <w:gridCol w:w="1152"/>
      </w:tblGrid>
      <w:tr>
        <w:trPr>
          <w:tblHeader w:val="true"/>
          <w:cantSplit w:val="true"/>
        </w:trPr>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Rank</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Complaint Category</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Mentions</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Share</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Food quality / taste inconsistency</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49</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38.0%</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2</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Poor customer service / no recovery</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30</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23.3%</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3</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Wrong, missing or unfulfilled order</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25</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19.4%</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4</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Staff behaviour / professionalism</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24</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18.6%</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5</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Late delivery / long waiting</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24</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18.6%</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6</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Delivery / driver conduct</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23</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17.8%</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7</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Price, value or fee concerns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22</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17.1%</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8</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Portion / topping shortfall</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21</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16.3%</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9</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Hygiene, safety or accessibility</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18</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14.0%</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10</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Menu item unavailable / discontinued</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17</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13.2%</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11</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Packaging / presentation</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17</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13.2%</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12</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Digital ordering / payment / tracker</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16</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12.4%</w:t>
            </w:r>
          </w:p>
        </w:tc>
      </w:tr>
    </w:tbl>
    <w:p>
      <w:pPr>
        <w:keepNext/>
        <w:spacing w:before="160" w:after="80" w:line="259" w:lineRule="auto"/>
      </w:pPr>
      <w:r>
        <w:rPr>
          <w:rFonts w:ascii="Liberation Sans" w:hAnsi="Liberation Sans"/>
          <w:b/>
          <w:color w:val="1F2937"/>
          <w:sz w:val="24"/>
        </w:rPr>
        <w:t>Complaint escalation levels</w:t>
      </w:r>
    </w:p>
    <w:tbl>
      <w:tblPr>
        <w:tblW w:type="auto" w:w="0"/>
        <w:jc w:val="center"/>
        <w:tblLayout w:type="fixed"/>
        <w:tblLook w:firstColumn="1" w:firstRow="1" w:lastColumn="0" w:lastRow="0" w:noHBand="0" w:noVBand="1" w:val="04A0"/>
      </w:tblPr>
      <w:tblGrid>
        <w:gridCol w:w="2088"/>
        <w:gridCol w:w="3240"/>
        <w:gridCol w:w="3888"/>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6"/>
              </w:rPr>
              <w:t>Severity</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6"/>
              </w:rPr>
              <w:t>Examples</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6"/>
              </w:rPr>
              <w:t>Required Response</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Level 1 - Immediate safety/compliance</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Glass or chemical concerns, illness, threats, unsafe driving, discrimination, service-dog denial, harassment or accessibility concerns.</w:t>
            </w:r>
          </w:p>
        </w:tc>
        <w:tc>
          <w:tcPr>
            <w:tcW w:type="dxa" w:w="38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Acknowledge immediately; preserve evidence; escalate to Legal/Compliance and Franchise Operations.</w:t>
            </w:r>
          </w:p>
        </w:tc>
      </w:tr>
      <w:tr>
        <w:trPr>
          <w:cantSplit w:val="true"/>
        </w:trPr>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Level 2 - Transaction and fulfilment</w:t>
            </w:r>
          </w:p>
        </w:tc>
        <w:tc>
          <w:tcPr>
            <w:tcW w:type="dxa" w:w="32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Non-delivery, wrong or missing orders, cold food, payment/refund failures and severe delays.</w:t>
            </w:r>
          </w:p>
        </w:tc>
        <w:tc>
          <w:tcPr>
            <w:tcW w:type="dxa" w:w="38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Resolve with refund/remake and verified follow-up within a defined SLA.</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6"/>
              </w:rPr>
              <w:t>Level 3 - Experience and value</w:t>
            </w:r>
          </w:p>
        </w:tc>
        <w:tc>
          <w:tcPr>
            <w:tcW w:type="dxa" w:w="32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Portion, toppings, pricing, fees, packaging, menu availability and routine service complaints.</w:t>
            </w:r>
          </w:p>
        </w:tc>
        <w:tc>
          <w:tcPr>
            <w:tcW w:type="dxa" w:w="38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6"/>
              </w:rPr>
              <w:t>Recover the customer, code the root cause and feed store/product dashboards.</w:t>
            </w:r>
          </w:p>
        </w:tc>
      </w:tr>
    </w:tbl>
    <w:tbl>
      <w:tblPr>
        <w:tblW w:type="auto" w:w="0"/>
        <w:jc w:val="center"/>
        <w:tblLook w:firstColumn="1" w:firstRow="1" w:lastColumn="0" w:lastRow="0" w:noHBand="0" w:noVBand="1" w:val="04A0"/>
      </w:tblPr>
      <w:tblGrid>
        <w:gridCol w:w="10224"/>
      </w:tblGrid>
      <w:tr>
        <w:tc>
          <w:tcPr>
            <w:tcW w:type="dxa" w:w="10224"/>
            <w:shd w:fill="FDECEE"/>
            <w:tcMar>
              <w:top w:w="130" w:type="dxa"/>
              <w:start w:w="180" w:type="dxa"/>
              <w:bottom w:w="130" w:type="dxa"/>
              <w:end w:w="180" w:type="dxa"/>
            </w:tcMar>
            <w:tcBorders>
              <w:left w:val="single" w:sz="18" w:color="E31837"/>
            </w:tcBorders>
          </w:tcPr>
          <w:p>
            <w:pPr>
              <w:spacing w:before="0" w:after="80" w:line="259" w:lineRule="auto"/>
            </w:pPr>
            <w:r>
              <w:rPr>
                <w:rFonts w:ascii="Liberation Sans" w:hAnsi="Liberation Sans"/>
                <w:i/>
                <w:color w:val="1F2937"/>
                <w:sz w:val="20"/>
              </w:rPr>
              <w:t>“I ordered a pizza earlier this evening at 6:47. My last estimate of delivery is 10:30.”</w:t>
            </w:r>
          </w:p>
          <w:p>
            <w:pPr>
              <w:spacing w:before="0" w:after="0" w:line="259" w:lineRule="auto"/>
              <w:jc w:val="right"/>
            </w:pPr>
            <w:r>
              <w:rPr>
                <w:rFonts w:ascii="Liberation Sans" w:hAnsi="Liberation Sans"/>
                <w:b/>
                <w:color w:val="E31837"/>
                <w:sz w:val="17"/>
              </w:rPr>
              <w:t>Comment 100 | Facebook | Late delivery</w:t>
            </w:r>
          </w:p>
        </w:tc>
      </w:tr>
    </w:tbl>
    <w:tbl>
      <w:tblPr>
        <w:tblW w:type="auto" w:w="0"/>
        <w:jc w:val="center"/>
        <w:tblLook w:firstColumn="1" w:firstRow="1" w:lastColumn="0" w:lastRow="0" w:noHBand="0" w:noVBand="1" w:val="04A0"/>
      </w:tblPr>
      <w:tblGrid>
        <w:gridCol w:w="10224"/>
      </w:tblGrid>
      <w:tr>
        <w:tc>
          <w:tcPr>
            <w:tcW w:type="dxa" w:w="10224"/>
            <w:shd w:fill="FDECEE"/>
            <w:tcMar>
              <w:top w:w="130" w:type="dxa"/>
              <w:start w:w="180" w:type="dxa"/>
              <w:bottom w:w="130" w:type="dxa"/>
              <w:end w:w="180" w:type="dxa"/>
            </w:tcMar>
            <w:tcBorders>
              <w:left w:val="single" w:sz="18" w:color="E31837"/>
            </w:tcBorders>
          </w:tcPr>
          <w:p>
            <w:pPr>
              <w:spacing w:before="0" w:after="80" w:line="259" w:lineRule="auto"/>
            </w:pPr>
            <w:r>
              <w:rPr>
                <w:rFonts w:ascii="Liberation Sans" w:hAnsi="Liberation Sans"/>
                <w:i/>
                <w:color w:val="1F2937"/>
                <w:sz w:val="20"/>
              </w:rPr>
              <w:t>“This is the tiniest Chicken Bacon Ranch sandwich I’ve ever seen... for almost $20.”</w:t>
            </w:r>
          </w:p>
          <w:p>
            <w:pPr>
              <w:spacing w:before="0" w:after="0" w:line="259" w:lineRule="auto"/>
              <w:jc w:val="right"/>
            </w:pPr>
            <w:r>
              <w:rPr>
                <w:rFonts w:ascii="Liberation Sans" w:hAnsi="Liberation Sans"/>
                <w:b/>
                <w:color w:val="E31837"/>
                <w:sz w:val="17"/>
              </w:rPr>
              <w:t>Comment 104 | Facebook | Portion/value</w:t>
            </w:r>
          </w:p>
        </w:tc>
      </w:tr>
    </w:tbl>
    <w:tbl>
      <w:tblPr>
        <w:tblW w:type="auto" w:w="0"/>
        <w:jc w:val="center"/>
        <w:tblLook w:firstColumn="1" w:firstRow="1" w:lastColumn="0" w:lastRow="0" w:noHBand="0" w:noVBand="1" w:val="04A0"/>
      </w:tblPr>
      <w:tblGrid>
        <w:gridCol w:w="10224"/>
      </w:tblGrid>
      <w:tr>
        <w:tc>
          <w:tcPr>
            <w:tcW w:type="dxa" w:w="10224"/>
            <w:shd w:fill="FDECEE"/>
            <w:tcMar>
              <w:top w:w="130" w:type="dxa"/>
              <w:start w:w="180" w:type="dxa"/>
              <w:bottom w:w="130" w:type="dxa"/>
              <w:end w:w="180" w:type="dxa"/>
            </w:tcMar>
            <w:tcBorders>
              <w:left w:val="single" w:sz="18" w:color="E31837"/>
            </w:tcBorders>
          </w:tcPr>
          <w:p>
            <w:pPr>
              <w:spacing w:before="0" w:after="80" w:line="259" w:lineRule="auto"/>
            </w:pPr>
            <w:r>
              <w:rPr>
                <w:rFonts w:ascii="Liberation Sans" w:hAnsi="Liberation Sans"/>
                <w:i/>
                <w:color w:val="1F2937"/>
                <w:sz w:val="20"/>
              </w:rPr>
              <w:t>“Your app really sucks... a dialogue comes up stating that they are having technical difficulties.”</w:t>
            </w:r>
          </w:p>
          <w:p>
            <w:pPr>
              <w:spacing w:before="0" w:after="0" w:line="259" w:lineRule="auto"/>
              <w:jc w:val="right"/>
            </w:pPr>
            <w:r>
              <w:rPr>
                <w:rFonts w:ascii="Liberation Sans" w:hAnsi="Liberation Sans"/>
                <w:b/>
                <w:color w:val="E31837"/>
                <w:sz w:val="17"/>
              </w:rPr>
              <w:t>Comment 102 | Facebook | Digital ordering</w:t>
            </w:r>
          </w:p>
        </w:tc>
      </w:tr>
    </w:tbl>
    <w:p>
      <w:pPr>
        <w:keepNext/>
        <w:spacing w:before="80" w:after="80" w:line="259" w:lineRule="auto"/>
        <w:pBdr>
          <w:bottom w:val="single" w:sz="10" w:space="1" w:color="006491"/>
        </w:pBdr>
      </w:pPr>
      <w:r>
        <w:rPr>
          <w:rFonts w:ascii="Liberation Sans" w:hAnsi="Liberation Sans"/>
          <w:b/>
          <w:color w:val="E31837"/>
          <w:sz w:val="38"/>
        </w:rPr>
        <w:t xml:space="preserve">13. </w:t>
      </w:r>
      <w:r>
        <w:rPr>
          <w:rFonts w:ascii="Liberation Sans" w:hAnsi="Liberation Sans"/>
          <w:b/>
          <w:color w:val="006491"/>
          <w:sz w:val="38"/>
        </w:rPr>
        <w:t>Praise Analysis</w:t>
      </w:r>
    </w:p>
    <w:p>
      <w:pPr>
        <w:spacing w:before="0" w:after="200" w:line="259" w:lineRule="auto"/>
      </w:pPr>
      <w:r>
        <w:rPr>
          <w:rFonts w:ascii="Liberation Sans" w:hAnsi="Liberation Sans"/>
          <w:i/>
          <w:color w:val="6B7280"/>
          <w:sz w:val="20"/>
        </w:rPr>
        <w:t>What delights customers and should be protected or amplified.</w:t>
      </w:r>
    </w:p>
    <w:p>
      <w:pPr>
        <w:keepNext/>
        <w:jc w:val="center"/>
      </w:pPr>
      <w:r>
        <w:drawing>
          <wp:inline xmlns:a="http://schemas.openxmlformats.org/drawingml/2006/main" xmlns:pic="http://schemas.openxmlformats.org/drawingml/2006/picture">
            <wp:extent cx="5806440" cy="3189414"/>
            <wp:docPr id="8" name="Picture 8"/>
            <wp:cNvGraphicFramePr>
              <a:graphicFrameLocks noChangeAspect="1"/>
            </wp:cNvGraphicFramePr>
            <a:graphic>
              <a:graphicData uri="http://schemas.openxmlformats.org/drawingml/2006/picture">
                <pic:pic>
                  <pic:nvPicPr>
                    <pic:cNvPr id="0" name="08_praise_categories.png"/>
                    <pic:cNvPicPr/>
                  </pic:nvPicPr>
                  <pic:blipFill>
                    <a:blip r:embed="rId18"/>
                    <a:stretch>
                      <a:fillRect/>
                    </a:stretch>
                  </pic:blipFill>
                  <pic:spPr>
                    <a:xfrm>
                      <a:off x="0" y="0"/>
                      <a:ext cx="5806440" cy="3189414"/>
                    </a:xfrm>
                    <a:prstGeom prst="rect"/>
                  </pic:spPr>
                </pic:pic>
              </a:graphicData>
            </a:graphic>
          </wp:inline>
        </w:drawing>
      </w:r>
    </w:p>
    <w:p>
      <w:pPr>
        <w:spacing w:before="0" w:after="160" w:line="259" w:lineRule="auto"/>
        <w:jc w:val="center"/>
      </w:pPr>
      <w:r>
        <w:rPr>
          <w:rFonts w:ascii="Liberation Sans" w:hAnsi="Liberation Sans"/>
          <w:i/>
          <w:color w:val="6B7280"/>
          <w:sz w:val="17"/>
        </w:rPr>
        <w:t>Figure 8. Most frequent praise categories in the supplied sample.</w:t>
      </w:r>
    </w:p>
    <w:tbl>
      <w:tblPr>
        <w:tblW w:type="auto" w:w="0"/>
        <w:jc w:val="center"/>
        <w:tblLayout w:type="fixed"/>
        <w:tblLook w:firstColumn="1" w:firstRow="1" w:lastColumn="0" w:lastRow="0" w:noHBand="0" w:noVBand="1" w:val="04A0"/>
      </w:tblPr>
      <w:tblGrid>
        <w:gridCol w:w="720"/>
        <w:gridCol w:w="6264"/>
        <w:gridCol w:w="1152"/>
        <w:gridCol w:w="1152"/>
      </w:tblGrid>
      <w:tr>
        <w:trPr>
          <w:tblHeader w:val="true"/>
          <w:cantSplit w:val="true"/>
        </w:trPr>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Rank</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Praise Category</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Mentions</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Share</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1</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Taste and flavour</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34</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26.4%</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2</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Brand love and loyalty</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32</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24.8%</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3</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Menu variety / favourite products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19</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14.7%</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4</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Value, deals and promotions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10</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7.8%</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5</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Portion / toppings</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10</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7.8%</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6</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Product quality / freshness</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7</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5.4%</w:t>
            </w:r>
          </w:p>
        </w:tc>
      </w:tr>
      <w:tr>
        <w:trPr>
          <w:cantSplit w:val="true"/>
        </w:trPr>
        <w:tc>
          <w:tcPr>
            <w:tcW w:type="dxa" w:w="7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7</w:t>
            </w:r>
          </w:p>
        </w:tc>
        <w:tc>
          <w:tcPr>
            <w:tcW w:type="dxa" w:w="626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Service appreciation</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2</w:t>
            </w:r>
          </w:p>
        </w:tc>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1.6%</w:t>
            </w:r>
          </w:p>
        </w:tc>
      </w:tr>
      <w:tr>
        <w:trPr>
          <w:cantSplit w:val="true"/>
        </w:trPr>
        <w:tc>
          <w:tcPr>
            <w:tcW w:type="dxa" w:w="7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8</w:t>
            </w:r>
          </w:p>
        </w:tc>
        <w:tc>
          <w:tcPr>
            <w:tcW w:type="dxa" w:w="626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Order reliability / fulfilment</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1</w:t>
            </w:r>
          </w:p>
        </w:tc>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0.8%</w:t>
            </w:r>
          </w:p>
        </w:tc>
      </w:tr>
    </w:tbl>
    <w:p>
      <w:pPr>
        <w:keepNext/>
        <w:spacing w:before="160" w:after="80" w:line="259" w:lineRule="auto"/>
      </w:pPr>
      <w:r>
        <w:rPr>
          <w:rFonts w:ascii="Liberation Sans" w:hAnsi="Liberation Sans"/>
          <w:b/>
          <w:color w:val="1F2937"/>
          <w:sz w:val="24"/>
        </w:rPr>
        <w:t>What creates delight</w:t>
      </w:r>
    </w:p>
    <w:p>
      <w:pPr>
        <w:pStyle w:val="ListBullet"/>
        <w:spacing w:before="0" w:after="60" w:line="259" w:lineRule="auto"/>
      </w:pPr>
      <w:r>
        <w:rPr>
          <w:rFonts w:ascii="Liberation Sans" w:hAnsi="Liberation Sans"/>
          <w:color w:val="1F2937"/>
          <w:sz w:val="20"/>
        </w:rPr>
        <w:t>Specific flavours and products: oregano seasoning, jalapeño bread, Alfredo pizza, Texas BBQ, Parmesan Bites, hand-tossed crust, pan pizza and named toppings.</w:t>
      </w:r>
    </w:p>
    <w:p>
      <w:pPr>
        <w:pStyle w:val="ListBullet"/>
        <w:spacing w:before="0" w:after="60" w:line="259" w:lineRule="auto"/>
      </w:pPr>
      <w:r>
        <w:rPr>
          <w:rFonts w:ascii="Liberation Sans" w:hAnsi="Liberation Sans"/>
          <w:color w:val="1F2937"/>
          <w:sz w:val="20"/>
        </w:rPr>
        <w:t>Crust and texture preferences: thin crust, Brooklyn style and hand-tossed crust create distinct product identities.</w:t>
      </w:r>
    </w:p>
    <w:p>
      <w:pPr>
        <w:pStyle w:val="ListBullet"/>
        <w:spacing w:before="0" w:after="60" w:line="259" w:lineRule="auto"/>
      </w:pPr>
      <w:r>
        <w:rPr>
          <w:rFonts w:ascii="Liberation Sans" w:hAnsi="Liberation Sans"/>
          <w:color w:val="1F2937"/>
          <w:sz w:val="20"/>
        </w:rPr>
        <w:t>Cravings and visual appeal: content prompts immediate desire to order and strong anticipation.</w:t>
      </w:r>
    </w:p>
    <w:p>
      <w:pPr>
        <w:pStyle w:val="ListBullet"/>
        <w:spacing w:before="0" w:after="60" w:line="259" w:lineRule="auto"/>
      </w:pPr>
      <w:r>
        <w:rPr>
          <w:rFonts w:ascii="Liberation Sans" w:hAnsi="Liberation Sans"/>
          <w:color w:val="1F2937"/>
          <w:sz w:val="20"/>
        </w:rPr>
        <w:t>Deals and customisation: voucher codes, extra sauce and bundle pricing support value and convenience.</w:t>
      </w:r>
    </w:p>
    <w:p>
      <w:pPr>
        <w:pStyle w:val="ListBullet"/>
        <w:spacing w:before="0" w:after="60" w:line="259" w:lineRule="auto"/>
      </w:pPr>
      <w:r>
        <w:rPr>
          <w:rFonts w:ascii="Liberation Sans" w:hAnsi="Liberation Sans"/>
          <w:color w:val="1F2937"/>
          <w:sz w:val="20"/>
        </w:rPr>
        <w:t>Reliability when it works: customers praise orders that are fresh, accurate and consistently ready for events.</w:t>
      </w:r>
    </w:p>
    <w:p>
      <w:pPr>
        <w:pStyle w:val="ListBullet"/>
        <w:spacing w:before="0" w:after="60" w:line="259" w:lineRule="auto"/>
      </w:pPr>
      <w:r>
        <w:rPr>
          <w:rFonts w:ascii="Liberation Sans" w:hAnsi="Liberation Sans"/>
          <w:color w:val="1F2937"/>
          <w:sz w:val="20"/>
        </w:rPr>
        <w:t>Long-term affinity: “go-to,” “die hard fan,” “best chain pizza” and multi-year rewards membership reveal advocacy potential.</w:t>
      </w:r>
    </w:p>
    <w:tbl>
      <w:tblPr>
        <w:tblW w:type="auto" w:w="0"/>
        <w:jc w:val="center"/>
        <w:tblLook w:firstColumn="1" w:firstRow="1" w:lastColumn="0" w:lastRow="0" w:noHBand="0" w:noVBand="1" w:val="04A0"/>
      </w:tblPr>
      <w:tblGrid>
        <w:gridCol w:w="10224"/>
      </w:tblGrid>
      <w:tr>
        <w:tc>
          <w:tcPr>
            <w:tcW w:type="dxa" w:w="10224"/>
            <w:shd w:fill="EAF7EE"/>
            <w:tcMar>
              <w:top w:w="130" w:type="dxa"/>
              <w:start w:w="180" w:type="dxa"/>
              <w:bottom w:w="130" w:type="dxa"/>
              <w:end w:w="180" w:type="dxa"/>
            </w:tcMar>
            <w:tcBorders>
              <w:left w:val="single" w:sz="18" w:color="16A34A"/>
            </w:tcBorders>
          </w:tcPr>
          <w:p>
            <w:pPr>
              <w:spacing w:before="0" w:after="80" w:line="259" w:lineRule="auto"/>
            </w:pPr>
            <w:r>
              <w:rPr>
                <w:rFonts w:ascii="Liberation Sans" w:hAnsi="Liberation Sans"/>
                <w:i/>
                <w:color w:val="1F2937"/>
                <w:sz w:val="20"/>
              </w:rPr>
              <w:t>“Your pizza is so delicious! This former beauty queen loves your pizza.”</w:t>
            </w:r>
          </w:p>
          <w:p>
            <w:pPr>
              <w:spacing w:before="0" w:after="0" w:line="259" w:lineRule="auto"/>
              <w:jc w:val="right"/>
            </w:pPr>
            <w:r>
              <w:rPr>
                <w:rFonts w:ascii="Liberation Sans" w:hAnsi="Liberation Sans"/>
                <w:b/>
                <w:color w:val="16A34A"/>
                <w:sz w:val="17"/>
              </w:rPr>
              <w:t>Comment 58 | Instagram | Taste/love</w:t>
            </w:r>
          </w:p>
        </w:tc>
      </w:tr>
    </w:tbl>
    <w:tbl>
      <w:tblPr>
        <w:tblW w:type="auto" w:w="0"/>
        <w:jc w:val="center"/>
        <w:tblLook w:firstColumn="1" w:firstRow="1" w:lastColumn="0" w:lastRow="0" w:noHBand="0" w:noVBand="1" w:val="04A0"/>
      </w:tblPr>
      <w:tblGrid>
        <w:gridCol w:w="10224"/>
      </w:tblGrid>
      <w:tr>
        <w:tc>
          <w:tcPr>
            <w:tcW w:type="dxa" w:w="10224"/>
            <w:shd w:fill="EAF7EE"/>
            <w:tcMar>
              <w:top w:w="130" w:type="dxa"/>
              <w:start w:w="180" w:type="dxa"/>
              <w:bottom w:w="130" w:type="dxa"/>
              <w:end w:w="180" w:type="dxa"/>
            </w:tcMar>
            <w:tcBorders>
              <w:left w:val="single" w:sz="18" w:color="16A34A"/>
            </w:tcBorders>
          </w:tcPr>
          <w:p>
            <w:pPr>
              <w:spacing w:before="0" w:after="80" w:line="259" w:lineRule="auto"/>
            </w:pPr>
            <w:r>
              <w:rPr>
                <w:rFonts w:ascii="Liberation Sans" w:hAnsi="Liberation Sans"/>
                <w:i/>
                <w:color w:val="1F2937"/>
                <w:sz w:val="20"/>
              </w:rPr>
              <w:t>“Bro idk why so many people hate on dominos! I’m a die hard fan!”</w:t>
            </w:r>
          </w:p>
          <w:p>
            <w:pPr>
              <w:spacing w:before="0" w:after="0" w:line="259" w:lineRule="auto"/>
              <w:jc w:val="right"/>
            </w:pPr>
            <w:r>
              <w:rPr>
                <w:rFonts w:ascii="Liberation Sans" w:hAnsi="Liberation Sans"/>
                <w:b/>
                <w:color w:val="16A34A"/>
                <w:sz w:val="17"/>
              </w:rPr>
              <w:t>Comment 83 | TikTok | Loyalty</w:t>
            </w:r>
          </w:p>
        </w:tc>
      </w:tr>
    </w:tbl>
    <w:tbl>
      <w:tblPr>
        <w:tblW w:type="auto" w:w="0"/>
        <w:jc w:val="center"/>
        <w:tblLayout w:type="fixed"/>
        <w:tblLook w:firstColumn="1" w:firstRow="1" w:lastColumn="0" w:lastRow="0" w:noHBand="0" w:noVBand="1" w:val="04A0"/>
      </w:tblPr>
      <w:tblGrid>
        <w:gridCol w:w="202"/>
        <w:gridCol w:w="9000"/>
      </w:tblGrid>
      <w:tr>
        <w:tc>
          <w:tcPr>
            <w:tcW w:type="dxa" w:w="5112"/>
            <w:shd w:fill="16A34A"/>
            <w:tcMar>
              <w:top w:w="60" w:type="dxa"/>
              <w:start w:w="0" w:type="dxa"/>
              <w:bottom w:w="60" w:type="dxa"/>
              <w:end w:w="0" w:type="dxa"/>
            </w:tcMar>
          </w:tcPr>
          <w:p/>
        </w:tc>
        <w:tc>
          <w:tcPr>
            <w:tcW w:type="dxa" w:w="5112"/>
            <w:shd w:fill="EAF7EE"/>
            <w:tcMar>
              <w:top w:w="120" w:type="dxa"/>
              <w:start w:w="150" w:type="dxa"/>
              <w:bottom w:w="120" w:type="dxa"/>
              <w:end w:w="150" w:type="dxa"/>
            </w:tcMar>
          </w:tcPr>
          <w:p>
            <w:pPr>
              <w:spacing w:before="0" w:after="40" w:line="259" w:lineRule="auto"/>
            </w:pPr>
            <w:r>
              <w:rPr>
                <w:rFonts w:ascii="Liberation Sans" w:hAnsi="Liberation Sans"/>
                <w:b/>
                <w:color w:val="16A34A"/>
                <w:sz w:val="21"/>
              </w:rPr>
              <w:t>PRAISE-TO-GROWTH LINK</w:t>
            </w:r>
          </w:p>
          <w:p>
            <w:pPr>
              <w:spacing w:before="0" w:after="0" w:line="259" w:lineRule="auto"/>
            </w:pPr>
            <w:r>
              <w:rPr>
                <w:rFonts w:ascii="Liberation Sans" w:hAnsi="Liberation Sans"/>
                <w:color w:val="1F2937"/>
                <w:sz w:val="19"/>
              </w:rPr>
              <w:t>Domino’s should use product fandom as a growth engine: build campaigns around specific menu heroes, customer customisation combinations, cravings and loyalty stories - while operational teams verify that featured items can be delivered consistently.</w:t>
            </w:r>
          </w:p>
        </w:tc>
      </w:tr>
    </w:tbl>
    <w:p>
      <w:pPr>
        <w:spacing w:after="20"/>
      </w:pPr>
    </w:p>
    <w:p>
      <w:r>
        <w:br w:type="page"/>
      </w:r>
    </w:p>
    <w:p>
      <w:pPr>
        <w:keepNext/>
        <w:spacing w:before="80" w:after="80" w:line="259" w:lineRule="auto"/>
        <w:pBdr>
          <w:bottom w:val="single" w:sz="10" w:space="1" w:color="006491"/>
        </w:pBdr>
      </w:pPr>
      <w:r>
        <w:rPr>
          <w:rFonts w:ascii="Liberation Sans" w:hAnsi="Liberation Sans"/>
          <w:b/>
          <w:color w:val="E31837"/>
          <w:sz w:val="38"/>
        </w:rPr>
        <w:t xml:space="preserve">14. </w:t>
      </w:r>
      <w:r>
        <w:rPr>
          <w:rFonts w:ascii="Liberation Sans" w:hAnsi="Liberation Sans"/>
          <w:b/>
          <w:color w:val="006491"/>
          <w:sz w:val="38"/>
        </w:rPr>
        <w:t>Opportunity Analysis</w:t>
      </w:r>
    </w:p>
    <w:p>
      <w:pPr>
        <w:spacing w:before="0" w:after="200" w:line="259" w:lineRule="auto"/>
      </w:pPr>
      <w:r>
        <w:rPr>
          <w:rFonts w:ascii="Liberation Sans" w:hAnsi="Liberation Sans"/>
          <w:i/>
          <w:color w:val="6B7280"/>
          <w:sz w:val="20"/>
        </w:rPr>
        <w:t>Opportunities are ranked by evidence volume, business risk and strategic upside.</w:t>
      </w:r>
    </w:p>
    <w:tbl>
      <w:tblPr>
        <w:tblW w:type="auto" w:w="0"/>
        <w:jc w:val="center"/>
        <w:tblLayout w:type="fixed"/>
        <w:tblLook w:firstColumn="1" w:firstRow="1" w:lastColumn="0" w:lastRow="0" w:noHBand="0" w:noVBand="1" w:val="04A0"/>
      </w:tblPr>
      <w:tblGrid>
        <w:gridCol w:w="648"/>
        <w:gridCol w:w="2376"/>
        <w:gridCol w:w="936"/>
        <w:gridCol w:w="1080"/>
        <w:gridCol w:w="4176"/>
      </w:tblGrid>
      <w:tr>
        <w:trPr>
          <w:tblHeader w:val="true"/>
          <w:cantSplit w:val="true"/>
        </w:trPr>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Rank</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Opportunity</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Evidence</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Priority</w:t>
            </w:r>
          </w:p>
        </w:tc>
        <w:tc>
          <w:tcPr>
            <w:tcW w:type="dxa" w:w="2045"/>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Why It Matters</w:t>
            </w:r>
          </w:p>
        </w:tc>
      </w:tr>
      <w:tr>
        <w:trPr>
          <w:cantSplit w:val="true"/>
        </w:trPr>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1</w:t>
            </w:r>
          </w:p>
        </w:tc>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Food quality and portion consistency</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30</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Critical</w:t>
            </w:r>
          </w:p>
        </w:tc>
        <w:tc>
          <w:tcPr>
            <w:tcW w:type="dxa" w:w="41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Repeated concerns about taste deterioration, cold/burnt/smelly food, cheese/topping shortfalls and inconsistent sizing.</w:t>
            </w:r>
          </w:p>
        </w:tc>
      </w:tr>
      <w:tr>
        <w:trPr>
          <w:cantSplit w:val="true"/>
        </w:trPr>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2</w:t>
            </w:r>
          </w:p>
        </w:tc>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Service recovery and complaint-resolution SLA</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11</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Critical</w:t>
            </w:r>
          </w:p>
        </w:tc>
        <w:tc>
          <w:tcPr>
            <w:tcW w:type="dxa" w:w="41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Refund delays, unanswered calls, unresolved cases and customers reporting that staff did not care.</w:t>
            </w:r>
          </w:p>
        </w:tc>
      </w:tr>
      <w:tr>
        <w:trPr>
          <w:cantSplit w:val="true"/>
        </w:trPr>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3</w:t>
            </w:r>
          </w:p>
        </w:tc>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Delivery ETA, readiness and fulfilment reliability</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11</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Critical</w:t>
            </w:r>
          </w:p>
        </w:tc>
        <w:tc>
          <w:tcPr>
            <w:tcW w:type="dxa" w:w="41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Late delivery, quality-check delays, wrong addresses, unprepared orders and non-delivery.</w:t>
            </w:r>
          </w:p>
        </w:tc>
      </w:tr>
      <w:tr>
        <w:trPr>
          <w:cantSplit w:val="true"/>
        </w:trPr>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4</w:t>
            </w:r>
          </w:p>
        </w:tc>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Staff, driver, hygiene and accessibility standards</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11</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High</w:t>
            </w:r>
          </w:p>
        </w:tc>
        <w:tc>
          <w:tcPr>
            <w:tcW w:type="dxa" w:w="41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Rudeness, threats, unsafe driving, glove concerns, service-dog denial and discrimination allegations.</w:t>
            </w:r>
          </w:p>
        </w:tc>
      </w:tr>
      <w:tr>
        <w:trPr>
          <w:cantSplit w:val="true"/>
        </w:trPr>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5</w:t>
            </w:r>
          </w:p>
        </w:tc>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Pricing, fee and promotion simplification</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8</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High</w:t>
            </w:r>
          </w:p>
        </w:tc>
        <w:tc>
          <w:tcPr>
            <w:tcW w:type="dxa" w:w="41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Customers describe base pricing as confusing or meaningless and perceive fees as negating promotions.</w:t>
            </w:r>
          </w:p>
        </w:tc>
      </w:tr>
      <w:tr>
        <w:trPr>
          <w:cantSplit w:val="true"/>
        </w:trPr>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6</w:t>
            </w:r>
          </w:p>
        </w:tc>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Digital app, payment, tracker and rewards reliability</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6</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High</w:t>
            </w:r>
          </w:p>
        </w:tc>
        <w:tc>
          <w:tcPr>
            <w:tcW w:type="dxa" w:w="41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Technical failures, misleading tracker status, payment errors and missing rewards/free-pizza benefits.</w:t>
            </w:r>
          </w:p>
        </w:tc>
      </w:tr>
      <w:tr>
        <w:trPr>
          <w:cantSplit w:val="true"/>
        </w:trPr>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7</w:t>
            </w:r>
          </w:p>
        </w:tc>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Restore high-affinity discontinued products</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7</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Medium</w:t>
            </w:r>
          </w:p>
        </w:tc>
        <w:tc>
          <w:tcPr>
            <w:tcW w:type="dxa" w:w="41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Requests for pasta, Buffalo Chicken Pizza, Brooklyn style, brownies and bread bowls show nostalgia-led demand.</w:t>
            </w:r>
          </w:p>
        </w:tc>
      </w:tr>
      <w:tr>
        <w:trPr>
          <w:cantSplit w:val="true"/>
        </w:trPr>
        <w:tc>
          <w:tcPr>
            <w:tcW w:type="dxa" w:w="64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8</w:t>
            </w:r>
          </w:p>
        </w:tc>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Pilot vegan/dairy-free cheese</w:t>
            </w:r>
          </w:p>
        </w:tc>
        <w:tc>
          <w:tcPr>
            <w:tcW w:type="dxa" w:w="9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5</w:t>
            </w:r>
          </w:p>
        </w:tc>
        <w:tc>
          <w:tcPr>
            <w:tcW w:type="dxa" w:w="10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Medium</w:t>
            </w:r>
          </w:p>
        </w:tc>
        <w:tc>
          <w:tcPr>
            <w:tcW w:type="dxa" w:w="41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Repeated unmet demand framed around inclusion, health, environment and market growth.</w:t>
            </w:r>
          </w:p>
        </w:tc>
      </w:tr>
      <w:tr>
        <w:trPr>
          <w:cantSplit w:val="true"/>
        </w:trPr>
        <w:tc>
          <w:tcPr>
            <w:tcW w:type="dxa" w:w="64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9</w:t>
            </w:r>
          </w:p>
        </w:tc>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Localised menu innovation and customisation</w:t>
            </w:r>
          </w:p>
        </w:tc>
        <w:tc>
          <w:tcPr>
            <w:tcW w:type="dxa" w:w="9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12</w:t>
            </w:r>
          </w:p>
        </w:tc>
        <w:tc>
          <w:tcPr>
            <w:tcW w:type="dxa" w:w="10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Medium</w:t>
            </w:r>
          </w:p>
        </w:tc>
        <w:tc>
          <w:tcPr>
            <w:tcW w:type="dxa" w:w="41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Enthusiasm for paneer, oregano, Texas BBQ, Alfredo, jalapeños and topping customisation.</w:t>
            </w:r>
          </w:p>
        </w:tc>
      </w:tr>
    </w:tbl>
    <w:p>
      <w:pPr>
        <w:keepNext/>
        <w:spacing w:before="160" w:after="80" w:line="259" w:lineRule="auto"/>
      </w:pPr>
      <w:r>
        <w:rPr>
          <w:rFonts w:ascii="Liberation Sans" w:hAnsi="Liberation Sans"/>
          <w:b/>
          <w:color w:val="1F2937"/>
          <w:sz w:val="24"/>
        </w:rPr>
        <w:t>Menu and product opportunities</w:t>
      </w:r>
    </w:p>
    <w:p>
      <w:pPr>
        <w:spacing w:before="0" w:after="120" w:line="259" w:lineRule="auto"/>
      </w:pPr>
      <w:r>
        <w:rPr>
          <w:rFonts w:ascii="Liberation Sans" w:hAnsi="Liberation Sans"/>
          <w:color w:val="1F2937"/>
          <w:sz w:val="20"/>
        </w:rPr>
        <w:t>Repeated requests for vegan or dairy-free cheese indicate a clear testable opportunity. The comments frame the need around vegan diets, lactose intolerance, health, animal welfare, environmental concerns and the fact that Domino’s offers vegan cheese in other markets. A controlled pilot could test incremental demand without requiring an immediate system-wide rollout.</w:t>
      </w:r>
    </w:p>
    <w:p>
      <w:pPr>
        <w:spacing w:before="0" w:after="120" w:line="259" w:lineRule="auto"/>
      </w:pPr>
      <w:r>
        <w:rPr>
          <w:rFonts w:ascii="Liberation Sans" w:hAnsi="Liberation Sans"/>
          <w:color w:val="1F2937"/>
          <w:sz w:val="20"/>
        </w:rPr>
        <w:t>Nostalgia is also commercially relevant. Requests to bring back pasta, Italian Sausage Marinara, Buffalo Chicken Pizza, Brooklyn style, brownies and bread bowls suggest that discontinued items retain emotional value. A limited-time return, customer vote or market-specific test can quantify demand before permanent reintroduction.</w:t>
      </w:r>
    </w:p>
    <w:p>
      <w:pPr>
        <w:keepNext/>
        <w:spacing w:before="160" w:after="80" w:line="259" w:lineRule="auto"/>
      </w:pPr>
      <w:r>
        <w:rPr>
          <w:rFonts w:ascii="Liberation Sans" w:hAnsi="Liberation Sans"/>
          <w:b/>
          <w:color w:val="1F2937"/>
          <w:sz w:val="24"/>
        </w:rPr>
        <w:t>Operational opportunities</w:t>
      </w:r>
    </w:p>
    <w:p>
      <w:pPr>
        <w:spacing w:before="0" w:after="120" w:line="259" w:lineRule="auto"/>
      </w:pPr>
      <w:r>
        <w:rPr>
          <w:rFonts w:ascii="Liberation Sans" w:hAnsi="Liberation Sans"/>
          <w:color w:val="1F2937"/>
          <w:sz w:val="20"/>
        </w:rPr>
        <w:t>The largest opportunity is not a new product; it is consistency. Standardising portion, cheese and topping application, bake quality, cut/presentation, packaging and readiness status would address the strongest complaint cluster while protecting the strongest praise driver: taste.</w:t>
      </w:r>
    </w:p>
    <w:p>
      <w:pPr>
        <w:keepNext/>
        <w:spacing w:before="160" w:after="80" w:line="259" w:lineRule="auto"/>
      </w:pPr>
      <w:r>
        <w:rPr>
          <w:rFonts w:ascii="Liberation Sans" w:hAnsi="Liberation Sans"/>
          <w:b/>
          <w:color w:val="1F2937"/>
          <w:sz w:val="24"/>
        </w:rPr>
        <w:t>Competitive opportunity</w:t>
      </w:r>
    </w:p>
    <w:p>
      <w:pPr>
        <w:spacing w:before="0" w:after="120" w:line="259" w:lineRule="auto"/>
      </w:pPr>
      <w:r>
        <w:rPr>
          <w:rFonts w:ascii="Liberation Sans" w:hAnsi="Liberation Sans"/>
          <w:color w:val="1F2937"/>
          <w:sz w:val="20"/>
        </w:rPr>
        <w:t>Competitor mentions are sparse, but the direction is clear. Domino’s wins when customers compare chain taste and favourite crusts. It loses when poor value or execution makes local outlets or Marcos appear more attractive. Competitive defence should therefore focus on reliable value delivery, not promotion volume alone.</w:t>
      </w:r>
    </w:p>
    <w:tbl>
      <w:tblPr>
        <w:tblW w:type="auto" w:w="0"/>
        <w:jc w:val="center"/>
        <w:tblLayout w:type="fixed"/>
        <w:tblLook w:firstColumn="1" w:firstRow="1" w:lastColumn="0" w:lastRow="0" w:noHBand="0" w:noVBand="1" w:val="04A0"/>
      </w:tblPr>
      <w:tblGrid>
        <w:gridCol w:w="202"/>
        <w:gridCol w:w="9000"/>
      </w:tblGrid>
      <w:tr>
        <w:tc>
          <w:tcPr>
            <w:tcW w:type="dxa" w:w="5112"/>
            <w:shd w:fill="006491"/>
            <w:tcMar>
              <w:top w:w="60" w:type="dxa"/>
              <w:start w:w="0" w:type="dxa"/>
              <w:bottom w:w="60" w:type="dxa"/>
              <w:end w:w="0" w:type="dxa"/>
            </w:tcMar>
          </w:tcPr>
          <w:p/>
        </w:tc>
        <w:tc>
          <w:tcPr>
            <w:tcW w:type="dxa" w:w="5112"/>
            <w:shd w:fill="EAF4F8"/>
            <w:tcMar>
              <w:top w:w="120" w:type="dxa"/>
              <w:start w:w="150" w:type="dxa"/>
              <w:bottom w:w="120" w:type="dxa"/>
              <w:end w:w="150" w:type="dxa"/>
            </w:tcMar>
          </w:tcPr>
          <w:p>
            <w:pPr>
              <w:spacing w:before="0" w:after="40" w:line="259" w:lineRule="auto"/>
            </w:pPr>
            <w:r>
              <w:rPr>
                <w:rFonts w:ascii="Liberation Sans" w:hAnsi="Liberation Sans"/>
                <w:b/>
                <w:color w:val="006491"/>
                <w:sz w:val="21"/>
              </w:rPr>
              <w:t>BEST GROWTH STRATEGY</w:t>
            </w:r>
          </w:p>
          <w:p>
            <w:pPr>
              <w:spacing w:before="0" w:after="0" w:line="259" w:lineRule="auto"/>
            </w:pPr>
            <w:r>
              <w:rPr>
                <w:rFonts w:ascii="Liberation Sans" w:hAnsi="Liberation Sans"/>
                <w:color w:val="1F2937"/>
                <w:sz w:val="19"/>
              </w:rPr>
              <w:t>Convert existing product love into repeatable trust. The brand does not need to choose between marketing and operations; it needs marketing claims, digital promises and store execution to describe the same customer experience.</w:t>
            </w:r>
          </w:p>
        </w:tc>
      </w:tr>
    </w:tbl>
    <w:p>
      <w:pPr>
        <w:spacing w:after="20"/>
      </w:pPr>
    </w:p>
    <w:p>
      <w:pPr>
        <w:keepNext/>
        <w:spacing w:before="80" w:after="80" w:line="259" w:lineRule="auto"/>
        <w:pBdr>
          <w:bottom w:val="single" w:sz="10" w:space="1" w:color="006491"/>
        </w:pBdr>
      </w:pPr>
      <w:r>
        <w:rPr>
          <w:rFonts w:ascii="Liberation Sans" w:hAnsi="Liberation Sans"/>
          <w:b/>
          <w:color w:val="E31837"/>
          <w:sz w:val="38"/>
        </w:rPr>
        <w:t xml:space="preserve">15. </w:t>
      </w:r>
      <w:r>
        <w:rPr>
          <w:rFonts w:ascii="Liberation Sans" w:hAnsi="Liberation Sans"/>
          <w:b/>
          <w:color w:val="006491"/>
          <w:sz w:val="38"/>
        </w:rPr>
        <w:t>Visualizations</w:t>
      </w:r>
    </w:p>
    <w:p>
      <w:pPr>
        <w:spacing w:before="0" w:after="200" w:line="259" w:lineRule="auto"/>
      </w:pPr>
      <w:r>
        <w:rPr>
          <w:rFonts w:ascii="Liberation Sans" w:hAnsi="Liberation Sans"/>
          <w:i/>
          <w:color w:val="6B7280"/>
          <w:sz w:val="20"/>
        </w:rPr>
        <w:t>Core charts are integrated throughout the report; this section adds language and geography views.</w:t>
      </w:r>
    </w:p>
    <w:p>
      <w:pPr>
        <w:keepNext/>
        <w:jc w:val="center"/>
      </w:pPr>
      <w:r>
        <w:drawing>
          <wp:inline xmlns:a="http://schemas.openxmlformats.org/drawingml/2006/main" xmlns:pic="http://schemas.openxmlformats.org/drawingml/2006/picture">
            <wp:extent cx="5806440" cy="3391881"/>
            <wp:docPr id="9" name="Picture 9"/>
            <wp:cNvGraphicFramePr>
              <a:graphicFrameLocks noChangeAspect="1"/>
            </wp:cNvGraphicFramePr>
            <a:graphic>
              <a:graphicData uri="http://schemas.openxmlformats.org/drawingml/2006/picture">
                <pic:pic>
                  <pic:nvPicPr>
                    <pic:cNvPr id="0" name="09_word_cloud.png"/>
                    <pic:cNvPicPr/>
                  </pic:nvPicPr>
                  <pic:blipFill>
                    <a:blip r:embed="rId19"/>
                    <a:stretch>
                      <a:fillRect/>
                    </a:stretch>
                  </pic:blipFill>
                  <pic:spPr>
                    <a:xfrm>
                      <a:off x="0" y="0"/>
                      <a:ext cx="5806440" cy="3391881"/>
                    </a:xfrm>
                    <a:prstGeom prst="rect"/>
                  </pic:spPr>
                </pic:pic>
              </a:graphicData>
            </a:graphic>
          </wp:inline>
        </w:drawing>
      </w:r>
    </w:p>
    <w:p>
      <w:pPr>
        <w:spacing w:before="0" w:after="160" w:line="259" w:lineRule="auto"/>
        <w:jc w:val="center"/>
      </w:pPr>
      <w:r>
        <w:rPr>
          <w:rFonts w:ascii="Liberation Sans" w:hAnsi="Liberation Sans"/>
          <w:i/>
          <w:color w:val="6B7280"/>
          <w:sz w:val="17"/>
        </w:rPr>
        <w:t>Figure 9. Word cloud of customer language after removing the brand name and common generic terms.</w:t>
      </w:r>
    </w:p>
    <w:p>
      <w:pPr>
        <w:spacing w:before="0" w:after="120" w:line="259" w:lineRule="auto"/>
      </w:pPr>
      <w:r>
        <w:rPr>
          <w:rFonts w:ascii="Liberation Sans" w:hAnsi="Liberation Sans"/>
          <w:color w:val="1F2937"/>
          <w:sz w:val="20"/>
        </w:rPr>
        <w:t>The word cloud reinforces the central themes: cheese, bread, crust, price, free offers, phone contact, delivery, service, vegan demand, menu return requests and quality concerns. Word clouds show prominence, not sentiment by themselves; interpretation must be linked back to coded comments.</w:t>
      </w:r>
    </w:p>
    <w:p>
      <w:pPr>
        <w:keepNext/>
        <w:jc w:val="center"/>
      </w:pPr>
      <w:r>
        <w:drawing>
          <wp:inline xmlns:a="http://schemas.openxmlformats.org/drawingml/2006/main" xmlns:pic="http://schemas.openxmlformats.org/drawingml/2006/picture">
            <wp:extent cx="5806440" cy="3267824"/>
            <wp:docPr id="10" name="Picture 10"/>
            <wp:cNvGraphicFramePr>
              <a:graphicFrameLocks noChangeAspect="1"/>
            </wp:cNvGraphicFramePr>
            <a:graphic>
              <a:graphicData uri="http://schemas.openxmlformats.org/drawingml/2006/picture">
                <pic:pic>
                  <pic:nvPicPr>
                    <pic:cNvPr id="0" name="10_geographic_mentions.png"/>
                    <pic:cNvPicPr/>
                  </pic:nvPicPr>
                  <pic:blipFill>
                    <a:blip r:embed="rId20"/>
                    <a:stretch>
                      <a:fillRect/>
                    </a:stretch>
                  </pic:blipFill>
                  <pic:spPr>
                    <a:xfrm>
                      <a:off x="0" y="0"/>
                      <a:ext cx="5806440" cy="3267824"/>
                    </a:xfrm>
                    <a:prstGeom prst="rect"/>
                  </pic:spPr>
                </pic:pic>
              </a:graphicData>
            </a:graphic>
          </wp:inline>
        </w:drawing>
      </w:r>
    </w:p>
    <w:p>
      <w:pPr>
        <w:spacing w:before="0" w:after="160" w:line="259" w:lineRule="auto"/>
        <w:jc w:val="center"/>
      </w:pPr>
      <w:r>
        <w:rPr>
          <w:rFonts w:ascii="Liberation Sans" w:hAnsi="Liberation Sans"/>
          <w:i/>
          <w:color w:val="6B7280"/>
          <w:sz w:val="17"/>
        </w:rPr>
        <w:t>Figure 10. Country-level aggregation of explicit location mentions. This is not a market-volume heat map.</w:t>
      </w:r>
    </w:p>
    <w:p>
      <w:pPr>
        <w:spacing w:before="0" w:after="120" w:line="259" w:lineRule="auto"/>
      </w:pPr>
      <w:r>
        <w:rPr>
          <w:rFonts w:ascii="Liberation Sans" w:hAnsi="Liberation Sans"/>
          <w:color w:val="1F2937"/>
          <w:sz w:val="20"/>
        </w:rPr>
        <w:t>Twenty-eight comments include explicit location entities across six country groupings. The map demonstrates the geographic breadth of the sample, but the locations are neither geotagged nor proportionally sampled. Store-level claims should be investigated individually rather than generalised to the entire country.</w:t>
      </w:r>
    </w:p>
    <w:p>
      <w:pPr>
        <w:keepNext/>
        <w:spacing w:before="160" w:after="80" w:line="259" w:lineRule="auto"/>
      </w:pPr>
      <w:r>
        <w:rPr>
          <w:rFonts w:ascii="Liberation Sans" w:hAnsi="Liberation Sans"/>
          <w:b/>
          <w:color w:val="1F2937"/>
          <w:sz w:val="24"/>
        </w:rPr>
        <w:t>Visual analytics index</w:t>
      </w:r>
    </w:p>
    <w:tbl>
      <w:tblPr>
        <w:tblW w:type="auto" w:w="0"/>
        <w:jc w:val="center"/>
        <w:tblLayout w:type="fixed"/>
        <w:tblLook w:firstColumn="1" w:firstRow="1" w:lastColumn="0" w:lastRow="0" w:noHBand="0" w:noVBand="1" w:val="04A0"/>
      </w:tblPr>
      <w:tblGrid>
        <w:gridCol w:w="1152"/>
        <w:gridCol w:w="4896"/>
        <w:gridCol w:w="3168"/>
      </w:tblGrid>
      <w:tr>
        <w:trPr>
          <w:tblHeader w:val="true"/>
          <w:cantSplit w:val="true"/>
        </w:trPr>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Figure</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Visual</w:t>
            </w:r>
          </w:p>
        </w:tc>
        <w:tc>
          <w:tcPr>
            <w:tcW w:type="dxa" w:w="3408"/>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Report Section</w:t>
            </w:r>
          </w:p>
        </w:tc>
      </w:tr>
      <w:tr>
        <w:trPr>
          <w:cantSplit w:val="true"/>
        </w:trPr>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1</w:t>
            </w:r>
          </w:p>
        </w:tc>
        <w:tc>
          <w:tcPr>
            <w:tcW w:type="dxa" w:w="48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Sentiment mix by platform</w:t>
            </w:r>
          </w:p>
        </w:tc>
        <w:tc>
          <w:tcPr>
            <w:tcW w:type="dxa" w:w="316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Dataset Overview</w:t>
            </w:r>
          </w:p>
        </w:tc>
      </w:tr>
      <w:tr>
        <w:trPr>
          <w:cantSplit w:val="true"/>
        </w:trPr>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2</w:t>
            </w:r>
          </w:p>
        </w:tc>
        <w:tc>
          <w:tcPr>
            <w:tcW w:type="dxa" w:w="48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Overall sentiment distribution</w:t>
            </w:r>
          </w:p>
        </w:tc>
        <w:tc>
          <w:tcPr>
            <w:tcW w:type="dxa" w:w="316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Overall Sentiment</w:t>
            </w:r>
          </w:p>
        </w:tc>
      </w:tr>
      <w:tr>
        <w:trPr>
          <w:cantSplit w:val="true"/>
        </w:trPr>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3</w:t>
            </w:r>
          </w:p>
        </w:tc>
        <w:tc>
          <w:tcPr>
            <w:tcW w:type="dxa" w:w="48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Sentiment trend by year</w:t>
            </w:r>
          </w:p>
        </w:tc>
        <w:tc>
          <w:tcPr>
            <w:tcW w:type="dxa" w:w="316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Trend Over Time</w:t>
            </w:r>
          </w:p>
        </w:tc>
      </w:tr>
      <w:tr>
        <w:trPr>
          <w:cantSplit w:val="true"/>
        </w:trPr>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4</w:t>
            </w:r>
          </w:p>
        </w:tc>
        <w:tc>
          <w:tcPr>
            <w:tcW w:type="dxa" w:w="48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Emotion distribution</w:t>
            </w:r>
          </w:p>
        </w:tc>
        <w:tc>
          <w:tcPr>
            <w:tcW w:type="dxa" w:w="316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Emotion Analysis</w:t>
            </w:r>
          </w:p>
        </w:tc>
      </w:tr>
      <w:tr>
        <w:trPr>
          <w:cantSplit w:val="true"/>
        </w:trPr>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5</w:t>
            </w:r>
          </w:p>
        </w:tc>
        <w:tc>
          <w:tcPr>
            <w:tcW w:type="dxa" w:w="48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Aspect-based sentiment</w:t>
            </w:r>
          </w:p>
        </w:tc>
        <w:tc>
          <w:tcPr>
            <w:tcW w:type="dxa" w:w="316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Aspect Analysis</w:t>
            </w:r>
          </w:p>
        </w:tc>
      </w:tr>
      <w:tr>
        <w:trPr>
          <w:cantSplit w:val="true"/>
        </w:trPr>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6</w:t>
            </w:r>
          </w:p>
        </w:tc>
        <w:tc>
          <w:tcPr>
            <w:tcW w:type="dxa" w:w="48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Topic frequency</w:t>
            </w:r>
          </w:p>
        </w:tc>
        <w:tc>
          <w:tcPr>
            <w:tcW w:type="dxa" w:w="316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Topic Analysis</w:t>
            </w:r>
          </w:p>
        </w:tc>
      </w:tr>
      <w:tr>
        <w:trPr>
          <w:cantSplit w:val="true"/>
        </w:trPr>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7</w:t>
            </w:r>
          </w:p>
        </w:tc>
        <w:tc>
          <w:tcPr>
            <w:tcW w:type="dxa" w:w="48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Complaint categories</w:t>
            </w:r>
          </w:p>
        </w:tc>
        <w:tc>
          <w:tcPr>
            <w:tcW w:type="dxa" w:w="316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Complaint Analysis</w:t>
            </w:r>
          </w:p>
        </w:tc>
      </w:tr>
      <w:tr>
        <w:trPr>
          <w:cantSplit w:val="true"/>
        </w:trPr>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8</w:t>
            </w:r>
          </w:p>
        </w:tc>
        <w:tc>
          <w:tcPr>
            <w:tcW w:type="dxa" w:w="48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Praise categories</w:t>
            </w:r>
          </w:p>
        </w:tc>
        <w:tc>
          <w:tcPr>
            <w:tcW w:type="dxa" w:w="316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Praise Analysis</w:t>
            </w:r>
          </w:p>
        </w:tc>
      </w:tr>
      <w:tr>
        <w:trPr>
          <w:cantSplit w:val="true"/>
        </w:trPr>
        <w:tc>
          <w:tcPr>
            <w:tcW w:type="dxa" w:w="115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9</w:t>
            </w:r>
          </w:p>
        </w:tc>
        <w:tc>
          <w:tcPr>
            <w:tcW w:type="dxa" w:w="48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Word cloud</w:t>
            </w:r>
          </w:p>
        </w:tc>
        <w:tc>
          <w:tcPr>
            <w:tcW w:type="dxa" w:w="316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Visualizations</w:t>
            </w:r>
          </w:p>
        </w:tc>
      </w:tr>
      <w:tr>
        <w:trPr>
          <w:cantSplit w:val="true"/>
        </w:trPr>
        <w:tc>
          <w:tcPr>
            <w:tcW w:type="dxa" w:w="115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Figure 10</w:t>
            </w:r>
          </w:p>
        </w:tc>
        <w:tc>
          <w:tcPr>
            <w:tcW w:type="dxa" w:w="48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Geographic mentions</w:t>
            </w:r>
          </w:p>
        </w:tc>
        <w:tc>
          <w:tcPr>
            <w:tcW w:type="dxa" w:w="316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Visualizations</w:t>
            </w:r>
          </w:p>
        </w:tc>
      </w:tr>
    </w:tbl>
    <w:p>
      <w:r>
        <w:br w:type="page"/>
      </w:r>
    </w:p>
    <w:p>
      <w:pPr>
        <w:keepNext/>
        <w:spacing w:before="80" w:after="80" w:line="259" w:lineRule="auto"/>
        <w:pBdr>
          <w:bottom w:val="single" w:sz="10" w:space="1" w:color="006491"/>
        </w:pBdr>
      </w:pPr>
      <w:r>
        <w:rPr>
          <w:rFonts w:ascii="Liberation Sans" w:hAnsi="Liberation Sans"/>
          <w:b/>
          <w:color w:val="E31837"/>
          <w:sz w:val="38"/>
        </w:rPr>
        <w:t xml:space="preserve">16. </w:t>
      </w:r>
      <w:r>
        <w:rPr>
          <w:rFonts w:ascii="Liberation Sans" w:hAnsi="Liberation Sans"/>
          <w:b/>
          <w:color w:val="006491"/>
          <w:sz w:val="38"/>
        </w:rPr>
        <w:t>Actionable Recommendations</w:t>
      </w:r>
    </w:p>
    <w:p>
      <w:pPr>
        <w:spacing w:before="0" w:after="200" w:line="259" w:lineRule="auto"/>
      </w:pPr>
      <w:r>
        <w:rPr>
          <w:rFonts w:ascii="Liberation Sans" w:hAnsi="Liberation Sans"/>
          <w:i/>
          <w:color w:val="6B7280"/>
          <w:sz w:val="20"/>
        </w:rPr>
        <w:t>Prioritised roadmap for Customer Experience, Operations, Digital, Marketing and Executive leadership.</w:t>
      </w:r>
    </w:p>
    <w:p>
      <w:pPr>
        <w:keepNext/>
        <w:spacing w:before="160" w:after="80" w:line="259" w:lineRule="auto"/>
      </w:pPr>
      <w:r>
        <w:rPr>
          <w:rFonts w:ascii="Liberation Sans" w:hAnsi="Liberation Sans"/>
          <w:b/>
          <w:color w:val="E31837"/>
          <w:sz w:val="24"/>
        </w:rPr>
        <w:t>Immediate priorities: 0-30 days</w:t>
      </w:r>
    </w:p>
    <w:tbl>
      <w:tblPr>
        <w:tblW w:type="auto" w:w="0"/>
        <w:jc w:val="center"/>
        <w:tblLayout w:type="fixed"/>
        <w:tblLook w:firstColumn="1" w:firstRow="1" w:lastColumn="0" w:lastRow="0" w:noHBand="0" w:noVBand="1" w:val="04A0"/>
      </w:tblPr>
      <w:tblGrid>
        <w:gridCol w:w="792"/>
        <w:gridCol w:w="2592"/>
        <w:gridCol w:w="2088"/>
        <w:gridCol w:w="3744"/>
      </w:tblGrid>
      <w:tr>
        <w:trPr>
          <w:tblHeader w:val="true"/>
          <w:cantSplit w:val="true"/>
        </w:trPr>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Priority</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Action</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Owner</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Success Measure</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1</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Create a high-risk complaint escalation protocol</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CX, Legal/Compliance, Franchise Ops</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Safety, illness, threats, discrimination, accessibility and harassment allegations acknowledged within 2 hours and assigned to an accountable owner.</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2</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Implement a service-recovery SLA</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Customer Experience</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Public complaints acknowledged within 4 hours; refund/remake cases resolved or formally updated within 48 hours.</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3</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Audit named and high-risk stores</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Operations / Franchise Management</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Review food safety, accessibility, driver conduct, staffing and order-quality controls for flagged locations and similar high-complaint stores.</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4</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Launch a 30-day fulfilment quality sprint</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Operations</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Measure order-ready accuracy, late orders, wrong/missing items, cold-food reports, topping compliance and portion-size variance.</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5</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Establish digital incident monitoring</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Digital Product / Engineering</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Track app payment failures, tracker-state mismatches, reward-credit failures and promotion-link problems daily.</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6</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Create a social response command centre</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Marketing + CX</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Use one taxonomy, one case ID and one owner across Facebook, Instagram and X/Twitter so customers are not repeatedly asked for details without resolution.</w:t>
            </w:r>
          </w:p>
        </w:tc>
      </w:tr>
    </w:tbl>
    <w:p>
      <w:pPr>
        <w:keepNext/>
        <w:spacing w:before="160" w:after="80" w:line="259" w:lineRule="auto"/>
      </w:pPr>
      <w:r>
        <w:rPr>
          <w:rFonts w:ascii="Liberation Sans" w:hAnsi="Liberation Sans"/>
          <w:b/>
          <w:color w:val="F59E0B"/>
          <w:sz w:val="24"/>
        </w:rPr>
        <w:t>Medium-term priorities: 1-6 months</w:t>
      </w:r>
    </w:p>
    <w:tbl>
      <w:tblPr>
        <w:tblW w:type="auto" w:w="0"/>
        <w:jc w:val="center"/>
        <w:tblLayout w:type="fixed"/>
        <w:tblLook w:firstColumn="1" w:firstRow="1" w:lastColumn="0" w:lastRow="0" w:noHBand="0" w:noVBand="1" w:val="04A0"/>
      </w:tblPr>
      <w:tblGrid>
        <w:gridCol w:w="792"/>
        <w:gridCol w:w="2592"/>
        <w:gridCol w:w="2088"/>
        <w:gridCol w:w="3744"/>
      </w:tblGrid>
      <w:tr>
        <w:trPr>
          <w:tblHeader w:val="true"/>
          <w:cantSplit w:val="true"/>
        </w:trPr>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Priority</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Action</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Owner</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Success Measure</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1</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Standardise product execution</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Operations / Quality</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Calibrated portion tools, topping guides, bake standards, cut/presentation checks and photo-based exception review.</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2</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Redesign service recovery</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CX / Finance / Operations</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Automated case routing, refund status visibility, closure confirmation and root-cause coding.</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3</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Improve ETA and tracker integrity</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Digital / Delivery Operations</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Use actual store capacity and preparation events; stop displaying employee or readiness states that are not operationally true.</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4</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Simplify price and promotion communication</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Commercial / Marketing</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Clarify base price, collection vs delivery deals, upgrade charges, stacking rules, fees and taxes before checkout.</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5</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Train staff and drivers</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People / Franchise Operations</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Mandatory modules on de-escalation, phone etiquette, accessibility, service animals, hygiene, safe driving and complaint ownership.</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6</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Pilot vegan cheese and menu returns</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Product / Marketing</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Test vegan cheese plus one or two nostalgia items in selected markets with incremental sales and repeat-purchase measurement.</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7</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Create channel-specific advocacy programmes</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Marketing</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Amplify YouTube/TikTok product fans while using Facebook/Instagram for visible recovery proof and operational accountability.</w:t>
            </w:r>
          </w:p>
        </w:tc>
      </w:tr>
    </w:tbl>
    <w:p>
      <w:pPr>
        <w:keepNext/>
        <w:spacing w:before="160" w:after="80" w:line="259" w:lineRule="auto"/>
      </w:pPr>
      <w:r>
        <w:rPr>
          <w:rFonts w:ascii="Liberation Sans" w:hAnsi="Liberation Sans"/>
          <w:b/>
          <w:color w:val="006491"/>
          <w:sz w:val="24"/>
        </w:rPr>
        <w:t>Long-term priorities: 6-12 months</w:t>
      </w:r>
    </w:p>
    <w:tbl>
      <w:tblPr>
        <w:tblW w:type="auto" w:w="0"/>
        <w:jc w:val="center"/>
        <w:tblLayout w:type="fixed"/>
        <w:tblLook w:firstColumn="1" w:firstRow="1" w:lastColumn="0" w:lastRow="0" w:noHBand="0" w:noVBand="1" w:val="04A0"/>
      </w:tblPr>
      <w:tblGrid>
        <w:gridCol w:w="792"/>
        <w:gridCol w:w="2592"/>
        <w:gridCol w:w="2088"/>
        <w:gridCol w:w="3744"/>
      </w:tblGrid>
      <w:tr>
        <w:trPr>
          <w:tblHeader w:val="true"/>
          <w:cantSplit w:val="true"/>
        </w:trPr>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Priority</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Action</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Owner</w:t>
            </w:r>
          </w:p>
        </w:tc>
        <w:tc>
          <w:tcPr>
            <w:tcW w:type="dxa" w:w="2556"/>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5"/>
              </w:rPr>
              <w:t>Success Measure</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1</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Build a unified Voice-of-Customer platform</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Executive, Data, CX</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Continuous social, complaint, app, survey and transaction feedback linked to stores, products and root causes.</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2</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Introduce franchise/store experience scorecards</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Operations / Franchise Leadership</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Monthly quality, delivery, digital, complaint and recovery metrics with coaching and accountability.</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3</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Develop predictive fulfilment and dispatch</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Digital / Data / Delivery</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Capacity-aware promises, proactive delay alerts and improved route/address validation.</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4</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Create an evidence-led menu innovation pipeline</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Product / Insights</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Regular tests for localised flavours, dietary inclusion, discontinued-item returns and customisation demand.</w:t>
            </w:r>
          </w:p>
        </w:tc>
      </w:tr>
      <w:tr>
        <w:trPr>
          <w:cantSplit w:val="true"/>
        </w:trPr>
        <w:tc>
          <w:tcPr>
            <w:tcW w:type="dxa" w:w="7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5</w:t>
            </w:r>
          </w:p>
        </w:tc>
        <w:tc>
          <w:tcPr>
            <w:tcW w:type="dxa" w:w="2592"/>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Rebuild trust through proof, not slogans</w:t>
            </w:r>
          </w:p>
        </w:tc>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Brand / Corporate Affairs</w:t>
            </w:r>
          </w:p>
        </w:tc>
        <w:tc>
          <w:tcPr>
            <w:tcW w:type="dxa" w:w="3744"/>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Publish measurable improvements in delivery accuracy, complaint closure, product consistency and accessibility.</w:t>
            </w:r>
          </w:p>
        </w:tc>
      </w:tr>
      <w:tr>
        <w:trPr>
          <w:cantSplit w:val="true"/>
        </w:trPr>
        <w:tc>
          <w:tcPr>
            <w:tcW w:type="dxa" w:w="7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5"/>
              </w:rPr>
              <w:t>6</w:t>
            </w:r>
          </w:p>
        </w:tc>
        <w:tc>
          <w:tcPr>
            <w:tcW w:type="dxa" w:w="2592"/>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Establish a representative benchmark programme</w:t>
            </w:r>
          </w:p>
        </w:tc>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Insights / Strategy</w:t>
            </w:r>
          </w:p>
        </w:tc>
        <w:tc>
          <w:tcPr>
            <w:tcW w:type="dxa" w:w="3744"/>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5"/>
              </w:rPr>
              <w:t>Expand to a stratified multi-market dataset with random sampling, competitor reviews, engagement weighting and recurring tracking.</w:t>
            </w:r>
          </w:p>
        </w:tc>
      </w:tr>
    </w:tbl>
    <w:p>
      <w:pPr>
        <w:keepNext/>
        <w:spacing w:before="160" w:after="80" w:line="259" w:lineRule="auto"/>
      </w:pPr>
      <w:r>
        <w:rPr>
          <w:rFonts w:ascii="Liberation Sans" w:hAnsi="Liberation Sans"/>
          <w:b/>
          <w:color w:val="1F2937"/>
          <w:sz w:val="24"/>
        </w:rPr>
        <w:t>Executive KPI dashboard</w:t>
      </w:r>
    </w:p>
    <w:tbl>
      <w:tblPr>
        <w:tblW w:type="auto" w:w="0"/>
        <w:jc w:val="center"/>
        <w:tblLayout w:type="fixed"/>
        <w:tblLook w:firstColumn="1" w:firstRow="1" w:lastColumn="0" w:lastRow="0" w:noHBand="0" w:noVBand="1" w:val="04A0"/>
      </w:tblPr>
      <w:tblGrid>
        <w:gridCol w:w="2376"/>
        <w:gridCol w:w="6840"/>
      </w:tblGrid>
      <w:tr>
        <w:trPr>
          <w:tblHeader w:val="true"/>
          <w:cantSplit w:val="true"/>
        </w:trPr>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Management Area</w:t>
            </w:r>
          </w:p>
        </w:tc>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Recommended KPIs</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Customer recovery</w:t>
            </w:r>
          </w:p>
        </w:tc>
        <w:tc>
          <w:tcPr>
            <w:tcW w:type="dxa" w:w="68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Complaint acknowledgement time; resolution time; refund ageing; reopened cases</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Fulfilment</w:t>
            </w:r>
          </w:p>
        </w:tc>
        <w:tc>
          <w:tcPr>
            <w:tcW w:type="dxa" w:w="68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On-time ready rate; on-time delivery; wrong/missing item rate; cancellation rate</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Product consistency</w:t>
            </w:r>
          </w:p>
        </w:tc>
        <w:tc>
          <w:tcPr>
            <w:tcW w:type="dxa" w:w="68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Portion variance; topping compliance; remake rate; cold/burnt/quality complaints</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Digital experience</w:t>
            </w:r>
          </w:p>
        </w:tc>
        <w:tc>
          <w:tcPr>
            <w:tcW w:type="dxa" w:w="68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Checkout success; payment failure; tracker accuracy; rewards-credit success</w:t>
            </w:r>
          </w:p>
        </w:tc>
      </w:tr>
      <w:tr>
        <w:trPr>
          <w:cantSplit w:val="true"/>
        </w:trPr>
        <w:tc>
          <w:tcPr>
            <w:tcW w:type="dxa" w:w="237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People and safety</w:t>
            </w:r>
          </w:p>
        </w:tc>
        <w:tc>
          <w:tcPr>
            <w:tcW w:type="dxa" w:w="684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Escalated conduct cases; accessibility compliance; hygiene audit scores; driver incidents</w:t>
            </w:r>
          </w:p>
        </w:tc>
      </w:tr>
      <w:tr>
        <w:trPr>
          <w:cantSplit w:val="true"/>
        </w:trPr>
        <w:tc>
          <w:tcPr>
            <w:tcW w:type="dxa" w:w="237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Brand health</w:t>
            </w:r>
          </w:p>
        </w:tc>
        <w:tc>
          <w:tcPr>
            <w:tcW w:type="dxa" w:w="684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Net sentiment; positive advocacy; churn intent; competitor-switch mentions; loyalty retention</w:t>
            </w:r>
          </w:p>
        </w:tc>
      </w:tr>
    </w:tbl>
    <w:tbl>
      <w:tblPr>
        <w:tblW w:type="auto" w:w="0"/>
        <w:jc w:val="center"/>
        <w:tblLayout w:type="fixed"/>
        <w:tblLook w:firstColumn="1" w:firstRow="1" w:lastColumn="0" w:lastRow="0" w:noHBand="0" w:noVBand="1" w:val="04A0"/>
      </w:tblPr>
      <w:tblGrid>
        <w:gridCol w:w="202"/>
        <w:gridCol w:w="9000"/>
      </w:tblGrid>
      <w:tr>
        <w:tc>
          <w:tcPr>
            <w:tcW w:type="dxa" w:w="5112"/>
            <w:shd w:fill="16A34A"/>
            <w:tcMar>
              <w:top w:w="60" w:type="dxa"/>
              <w:start w:w="0" w:type="dxa"/>
              <w:bottom w:w="60" w:type="dxa"/>
              <w:end w:w="0" w:type="dxa"/>
            </w:tcMar>
          </w:tcPr>
          <w:p/>
        </w:tc>
        <w:tc>
          <w:tcPr>
            <w:tcW w:type="dxa" w:w="5112"/>
            <w:shd w:fill="EAF7EE"/>
            <w:tcMar>
              <w:top w:w="120" w:type="dxa"/>
              <w:start w:w="150" w:type="dxa"/>
              <w:bottom w:w="120" w:type="dxa"/>
              <w:end w:w="150" w:type="dxa"/>
            </w:tcMar>
          </w:tcPr>
          <w:p>
            <w:pPr>
              <w:spacing w:before="0" w:after="40" w:line="259" w:lineRule="auto"/>
            </w:pPr>
            <w:r>
              <w:rPr>
                <w:rFonts w:ascii="Liberation Sans" w:hAnsi="Liberation Sans"/>
                <w:b/>
                <w:color w:val="16A34A"/>
                <w:sz w:val="21"/>
              </w:rPr>
              <w:t>EXPECTED BUSINESS IMPACT</w:t>
            </w:r>
          </w:p>
          <w:p>
            <w:pPr>
              <w:spacing w:before="0" w:after="0" w:line="259" w:lineRule="auto"/>
            </w:pPr>
            <w:r>
              <w:rPr>
                <w:rFonts w:ascii="Liberation Sans" w:hAnsi="Liberation Sans"/>
                <w:color w:val="1F2937"/>
                <w:sz w:val="19"/>
              </w:rPr>
              <w:t>If implemented well, the programme should reduce repeat complaints, refunds and avoidable churn; improve order accuracy and delivery confidence; increase conversion from promotions; strengthen loyalty; and create more consistent franchise-level execution. Numeric impact should be forecast only after baseline KPIs are established.</w:t>
            </w:r>
          </w:p>
        </w:tc>
      </w:tr>
    </w:tbl>
    <w:p>
      <w:pPr>
        <w:spacing w:after="20"/>
      </w:pPr>
    </w:p>
    <w:p>
      <w:r>
        <w:br w:type="page"/>
      </w:r>
    </w:p>
    <w:p>
      <w:pPr>
        <w:keepNext/>
        <w:spacing w:before="80" w:after="80" w:line="259" w:lineRule="auto"/>
        <w:pBdr>
          <w:bottom w:val="single" w:sz="10" w:space="1" w:color="006491"/>
        </w:pBdr>
      </w:pPr>
      <w:r>
        <w:rPr>
          <w:rFonts w:ascii="Liberation Sans" w:hAnsi="Liberation Sans"/>
          <w:b/>
          <w:color w:val="E31837"/>
          <w:sz w:val="38"/>
        </w:rPr>
        <w:t xml:space="preserve">17. </w:t>
      </w:r>
      <w:r>
        <w:rPr>
          <w:rFonts w:ascii="Liberation Sans" w:hAnsi="Liberation Sans"/>
          <w:b/>
          <w:color w:val="006491"/>
          <w:sz w:val="38"/>
        </w:rPr>
        <w:t>Conclusion</w:t>
      </w:r>
    </w:p>
    <w:tbl>
      <w:tblPr>
        <w:tblW w:type="auto" w:w="0"/>
        <w:jc w:val="center"/>
        <w:tblLayout w:type="fixed"/>
        <w:tblLook w:firstColumn="1" w:firstRow="1" w:lastColumn="0" w:lastRow="0" w:noHBand="0" w:noVBand="1" w:val="04A0"/>
      </w:tblPr>
      <w:tblGrid>
        <w:gridCol w:w="2520"/>
        <w:gridCol w:w="6696"/>
      </w:tblGrid>
      <w:tr>
        <w:trPr>
          <w:tblHeader w:val="true"/>
          <w:cantSplit w:val="true"/>
        </w:trPr>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Conclusion Area</w:t>
            </w:r>
          </w:p>
        </w:tc>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Assessment</w:t>
            </w:r>
          </w:p>
        </w:tc>
      </w:tr>
      <w:tr>
        <w:trPr>
          <w:cantSplit w:val="true"/>
        </w:trPr>
        <w:tc>
          <w:tcPr>
            <w:tcW w:type="dxa" w:w="25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Overall customer perception</w:t>
            </w:r>
          </w:p>
        </w:tc>
        <w:tc>
          <w:tcPr>
            <w:tcW w:type="dxa" w:w="66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Domino's is a well-known, craveable and emotionally salient brand, but the sampled experience is dominated by inconsistency and weak recovery.</w:t>
            </w:r>
          </w:p>
        </w:tc>
      </w:tr>
      <w:tr>
        <w:trPr>
          <w:cantSplit w:val="true"/>
        </w:trPr>
        <w:tc>
          <w:tcPr>
            <w:tcW w:type="dxa" w:w="25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Key emotional drivers</w:t>
            </w:r>
          </w:p>
        </w:tc>
        <w:tc>
          <w:tcPr>
            <w:tcW w:type="dxa" w:w="66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Positive: joy, excitement, love, hope and loyalty. Negative: disappointment, frustration, anger, impatience and disgust.</w:t>
            </w:r>
          </w:p>
        </w:tc>
      </w:tr>
      <w:tr>
        <w:trPr>
          <w:cantSplit w:val="true"/>
        </w:trPr>
        <w:tc>
          <w:tcPr>
            <w:tcW w:type="dxa" w:w="25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Major operational strengths</w:t>
            </w:r>
          </w:p>
        </w:tc>
        <w:tc>
          <w:tcPr>
            <w:tcW w:type="dxa" w:w="66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Distinctive taste and menu favourites, strong cravings, brand familiarity, customisation and perceived value when deals work.</w:t>
            </w:r>
          </w:p>
        </w:tc>
      </w:tr>
      <w:tr>
        <w:trPr>
          <w:cantSplit w:val="true"/>
        </w:trPr>
        <w:tc>
          <w:tcPr>
            <w:tcW w:type="dxa" w:w="25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Critical weaknesses</w:t>
            </w:r>
          </w:p>
        </w:tc>
        <w:tc>
          <w:tcPr>
            <w:tcW w:type="dxa" w:w="66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Food consistency, customer service recovery, waiting and delivery reliability, order accuracy, staff conduct, digital failures, price-value clarity, hygiene and accessibility.</w:t>
            </w:r>
          </w:p>
        </w:tc>
      </w:tr>
      <w:tr>
        <w:trPr>
          <w:cantSplit w:val="true"/>
        </w:trPr>
        <w:tc>
          <w:tcPr>
            <w:tcW w:type="dxa" w:w="252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Strategic priorities</w:t>
            </w:r>
          </w:p>
        </w:tc>
        <w:tc>
          <w:tcPr>
            <w:tcW w:type="dxa" w:w="669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Stabilise execution, close complaints quickly, improve digital truthfulness, enforce people and safety standards, simplify value communication, and test high-demand menu opportunities.</w:t>
            </w:r>
          </w:p>
        </w:tc>
      </w:tr>
      <w:tr>
        <w:trPr>
          <w:cantSplit w:val="true"/>
        </w:trPr>
        <w:tc>
          <w:tcPr>
            <w:tcW w:type="dxa" w:w="252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Expected business impact</w:t>
            </w:r>
          </w:p>
        </w:tc>
        <w:tc>
          <w:tcPr>
            <w:tcW w:type="dxa" w:w="669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Higher trust and repeat purchase, lower churn and refund leakage, more effective marketing, stronger franchise consistency and improved brand advocacy.</w:t>
            </w:r>
          </w:p>
        </w:tc>
      </w:tr>
    </w:tbl>
    <w:p>
      <w:pPr>
        <w:spacing w:before="0" w:after="120" w:line="259" w:lineRule="auto"/>
      </w:pPr>
      <w:r>
        <w:rPr>
          <w:rFonts w:ascii="Liberation Sans" w:hAnsi="Liberation Sans"/>
          <w:color w:val="1F2937"/>
          <w:sz w:val="20"/>
        </w:rPr>
        <w:t>The central conclusion is that Domino's has meaningful customer love to work with. Customers are still excited by products, still request new and returning items, and still compare the brand favourably with competitors. However, this equity is being spent whenever the operational experience contradicts the brand promise.</w:t>
      </w:r>
    </w:p>
    <w:p>
      <w:pPr>
        <w:spacing w:before="0" w:after="120" w:line="259" w:lineRule="auto"/>
      </w:pPr>
      <w:r>
        <w:rPr>
          <w:rFonts w:ascii="Liberation Sans" w:hAnsi="Liberation Sans"/>
          <w:color w:val="1F2937"/>
          <w:sz w:val="20"/>
        </w:rPr>
        <w:t>The most effective strategy is therefore not simply more promotion. It is disciplined alignment: the food shown in marketing should match the food in the box; the tracker should match store reality; the promised deal should match the final price; and a complaint should produce visible ownership and resolution.</w:t>
      </w:r>
    </w:p>
    <w:tbl>
      <w:tblPr>
        <w:tblW w:type="auto" w:w="0"/>
        <w:jc w:val="center"/>
        <w:tblLayout w:type="fixed"/>
        <w:tblLook w:firstColumn="1" w:firstRow="1" w:lastColumn="0" w:lastRow="0" w:noHBand="0" w:noVBand="1" w:val="04A0"/>
      </w:tblPr>
      <w:tblGrid>
        <w:gridCol w:w="202"/>
        <w:gridCol w:w="9000"/>
      </w:tblGrid>
      <w:tr>
        <w:tc>
          <w:tcPr>
            <w:tcW w:type="dxa" w:w="5112"/>
            <w:shd w:fill="006491"/>
            <w:tcMar>
              <w:top w:w="60" w:type="dxa"/>
              <w:start w:w="0" w:type="dxa"/>
              <w:bottom w:w="60" w:type="dxa"/>
              <w:end w:w="0" w:type="dxa"/>
            </w:tcMar>
          </w:tcPr>
          <w:p/>
        </w:tc>
        <w:tc>
          <w:tcPr>
            <w:tcW w:type="dxa" w:w="5112"/>
            <w:shd w:fill="EAF4F8"/>
            <w:tcMar>
              <w:top w:w="120" w:type="dxa"/>
              <w:start w:w="150" w:type="dxa"/>
              <w:bottom w:w="120" w:type="dxa"/>
              <w:end w:w="150" w:type="dxa"/>
            </w:tcMar>
          </w:tcPr>
          <w:p>
            <w:pPr>
              <w:spacing w:before="0" w:after="40" w:line="259" w:lineRule="auto"/>
            </w:pPr>
            <w:r>
              <w:rPr>
                <w:rFonts w:ascii="Liberation Sans" w:hAnsi="Liberation Sans"/>
                <w:b/>
                <w:color w:val="006491"/>
                <w:sz w:val="21"/>
              </w:rPr>
              <w:t>FINAL EXECUTIVE MESSAGE</w:t>
            </w:r>
          </w:p>
          <w:p>
            <w:pPr>
              <w:spacing w:before="0" w:after="0" w:line="259" w:lineRule="auto"/>
            </w:pPr>
            <w:r>
              <w:rPr>
                <w:rFonts w:ascii="Liberation Sans" w:hAnsi="Liberation Sans"/>
                <w:color w:val="1F2937"/>
                <w:sz w:val="19"/>
              </w:rPr>
              <w:t>Protect the craving. Standardise the experience. Recover failures fast. Prove improvement with data.</w:t>
            </w:r>
          </w:p>
        </w:tc>
      </w:tr>
    </w:tbl>
    <w:p>
      <w:pPr>
        <w:spacing w:after="20"/>
      </w:pPr>
    </w:p>
    <w:p>
      <w:pPr>
        <w:pageBreakBefore/>
        <w:pBdr>
          <w:bottom w:val="single" w:sz="8" w:space="1" w:color="E31837"/>
        </w:pBdr>
      </w:pPr>
      <w:r>
        <w:rPr>
          <w:rFonts w:ascii="Liberation Sans" w:hAnsi="Liberation Sans"/>
          <w:b/>
          <w:color w:val="006491"/>
          <w:sz w:val="36"/>
        </w:rPr>
        <w:t>APPENDIX A - CODING DEFINITIONS</w:t>
      </w:r>
    </w:p>
    <w:tbl>
      <w:tblPr>
        <w:tblW w:type="auto" w:w="0"/>
        <w:jc w:val="center"/>
        <w:tblLayout w:type="fixed"/>
        <w:tblLook w:firstColumn="1" w:firstRow="1" w:lastColumn="0" w:lastRow="0" w:noHBand="0" w:noVBand="1" w:val="04A0"/>
      </w:tblPr>
      <w:tblGrid>
        <w:gridCol w:w="2088"/>
        <w:gridCol w:w="7128"/>
      </w:tblGrid>
      <w:tr>
        <w:trPr>
          <w:tblHeader w:val="true"/>
          <w:cantSplit w:val="true"/>
        </w:trPr>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Code</w:t>
            </w:r>
          </w:p>
        </w:tc>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7"/>
              </w:rPr>
              <w:t>Definition</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Positive</w:t>
            </w:r>
          </w:p>
        </w:tc>
        <w:tc>
          <w:tcPr>
            <w:tcW w:type="dxa" w:w="712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Clear praise, affection, satisfaction, favourable recommendation or purchase intent.</w:t>
            </w:r>
          </w:p>
        </w:tc>
      </w:tr>
      <w:tr>
        <w:trPr>
          <w:cantSplit w:val="true"/>
        </w:trPr>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Negative</w:t>
            </w:r>
          </w:p>
        </w:tc>
        <w:tc>
          <w:tcPr>
            <w:tcW w:type="dxa" w:w="712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Clear complaint, criticism, anger, rejection, poor experience or churn intention.</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Neutral</w:t>
            </w:r>
          </w:p>
        </w:tc>
        <w:tc>
          <w:tcPr>
            <w:tcW w:type="dxa" w:w="712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Information, humour, a question or brand mention without clear evaluative direction.</w:t>
            </w:r>
          </w:p>
        </w:tc>
      </w:tr>
      <w:tr>
        <w:trPr>
          <w:cantSplit w:val="true"/>
        </w:trPr>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Mixed</w:t>
            </w:r>
          </w:p>
        </w:tc>
        <w:tc>
          <w:tcPr>
            <w:tcW w:type="dxa" w:w="712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Substantive positive and negative evaluation in one comment.</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Emotion coding</w:t>
            </w:r>
          </w:p>
        </w:tc>
        <w:tc>
          <w:tcPr>
            <w:tcW w:type="dxa" w:w="712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Multi-label assessment of expressed or strongly implied emotional state.</w:t>
            </w:r>
          </w:p>
        </w:tc>
      </w:tr>
      <w:tr>
        <w:trPr>
          <w:cantSplit w:val="true"/>
        </w:trPr>
        <w:tc>
          <w:tcPr>
            <w:tcW w:type="dxa" w:w="208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Aspect coding</w:t>
            </w:r>
          </w:p>
        </w:tc>
        <w:tc>
          <w:tcPr>
            <w:tcW w:type="dxa" w:w="7128"/>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Multi-label business area mentioned in the comment; aspect polarity can differ from overall polarity.</w:t>
            </w:r>
          </w:p>
        </w:tc>
      </w:tr>
      <w:tr>
        <w:trPr>
          <w:cantSplit w:val="true"/>
        </w:trPr>
        <w:tc>
          <w:tcPr>
            <w:tcW w:type="dxa" w:w="208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7"/>
              </w:rPr>
              <w:t>Complaint / praise coding</w:t>
            </w:r>
          </w:p>
        </w:tc>
        <w:tc>
          <w:tcPr>
            <w:tcW w:type="dxa" w:w="7128"/>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7"/>
              </w:rPr>
              <w:t>Multi-label operational categories used to identify root-cause and delight themes.</w:t>
            </w:r>
          </w:p>
        </w:tc>
      </w:tr>
    </w:tbl>
    <w:p>
      <w:pPr>
        <w:keepNext/>
        <w:spacing w:before="160" w:after="80" w:line="259" w:lineRule="auto"/>
      </w:pPr>
      <w:r>
        <w:rPr>
          <w:rFonts w:ascii="Liberation Sans" w:hAnsi="Liberation Sans"/>
          <w:b/>
          <w:color w:val="1F2937"/>
          <w:sz w:val="24"/>
        </w:rPr>
        <w:t>Sentiment colour legend</w:t>
      </w:r>
    </w:p>
    <w:tbl>
      <w:tblPr>
        <w:tblW w:type="auto" w:w="0"/>
        <w:jc w:val="center"/>
        <w:tblLook w:firstColumn="1" w:firstRow="1" w:lastColumn="0" w:lastRow="0" w:noHBand="0" w:noVBand="1" w:val="04A0"/>
      </w:tblPr>
      <w:tblGrid>
        <w:gridCol w:w="2556"/>
        <w:gridCol w:w="2556"/>
        <w:gridCol w:w="2556"/>
        <w:gridCol w:w="2556"/>
      </w:tblGrid>
      <w:tr>
        <w:tc>
          <w:tcPr>
            <w:tcW w:type="dxa" w:w="2556"/>
            <w:shd w:fill="16A34A"/>
            <w:tcMar>
              <w:top w:w="120" w:type="dxa"/>
              <w:start w:w="70" w:type="dxa"/>
              <w:bottom w:w="120" w:type="dxa"/>
              <w:end w:w="70" w:type="dxa"/>
            </w:tcMar>
          </w:tcPr>
          <w:p>
            <w:pPr>
              <w:jc w:val="center"/>
            </w:pPr>
            <w:r>
              <w:rPr>
                <w:rFonts w:ascii="Liberation Sans" w:hAnsi="Liberation Sans"/>
                <w:b/>
                <w:color w:val="FFFFFF"/>
                <w:sz w:val="18"/>
              </w:rPr>
              <w:t>Positive</w:t>
            </w:r>
          </w:p>
        </w:tc>
        <w:tc>
          <w:tcPr>
            <w:tcW w:type="dxa" w:w="2556"/>
            <w:shd w:fill="E31837"/>
            <w:tcMar>
              <w:top w:w="120" w:type="dxa"/>
              <w:start w:w="70" w:type="dxa"/>
              <w:bottom w:w="120" w:type="dxa"/>
              <w:end w:w="70" w:type="dxa"/>
            </w:tcMar>
          </w:tcPr>
          <w:p>
            <w:pPr>
              <w:jc w:val="center"/>
            </w:pPr>
            <w:r>
              <w:rPr>
                <w:rFonts w:ascii="Liberation Sans" w:hAnsi="Liberation Sans"/>
                <w:b/>
                <w:color w:val="FFFFFF"/>
                <w:sz w:val="18"/>
              </w:rPr>
              <w:t>Negative</w:t>
            </w:r>
          </w:p>
        </w:tc>
        <w:tc>
          <w:tcPr>
            <w:tcW w:type="dxa" w:w="2556"/>
            <w:shd w:fill="6B7280"/>
            <w:tcMar>
              <w:top w:w="120" w:type="dxa"/>
              <w:start w:w="70" w:type="dxa"/>
              <w:bottom w:w="120" w:type="dxa"/>
              <w:end w:w="70" w:type="dxa"/>
            </w:tcMar>
          </w:tcPr>
          <w:p>
            <w:pPr>
              <w:jc w:val="center"/>
            </w:pPr>
            <w:r>
              <w:rPr>
                <w:rFonts w:ascii="Liberation Sans" w:hAnsi="Liberation Sans"/>
                <w:b/>
                <w:color w:val="FFFFFF"/>
                <w:sz w:val="18"/>
              </w:rPr>
              <w:t>Neutral</w:t>
            </w:r>
          </w:p>
        </w:tc>
        <w:tc>
          <w:tcPr>
            <w:tcW w:type="dxa" w:w="2556"/>
            <w:shd w:fill="F59E0B"/>
            <w:tcMar>
              <w:top w:w="120" w:type="dxa"/>
              <w:start w:w="70" w:type="dxa"/>
              <w:bottom w:w="120" w:type="dxa"/>
              <w:end w:w="70" w:type="dxa"/>
            </w:tcMar>
          </w:tcPr>
          <w:p>
            <w:pPr>
              <w:jc w:val="center"/>
            </w:pPr>
            <w:r>
              <w:rPr>
                <w:rFonts w:ascii="Liberation Sans" w:hAnsi="Liberation Sans"/>
                <w:b/>
                <w:color w:val="FFFFFF"/>
                <w:sz w:val="18"/>
              </w:rPr>
              <w:t>Mixed</w:t>
            </w:r>
          </w:p>
        </w:tc>
      </w:tr>
    </w:tbl>
    <w:p>
      <w:pPr>
        <w:pageBreakBefore/>
        <w:pBdr>
          <w:bottom w:val="single" w:sz="8" w:space="1" w:color="E31837"/>
        </w:pBdr>
      </w:pPr>
      <w:r>
        <w:rPr>
          <w:rFonts w:ascii="Liberation Sans" w:hAnsi="Liberation Sans"/>
          <w:b/>
          <w:color w:val="006491"/>
          <w:sz w:val="36"/>
        </w:rPr>
        <w:t>APPENDIX B - DATA AUDIT TRAIL</w:t>
      </w:r>
    </w:p>
    <w:p>
      <w:pPr>
        <w:spacing w:before="0" w:after="120" w:line="259" w:lineRule="auto"/>
      </w:pPr>
      <w:r>
        <w:rPr>
          <w:rFonts w:ascii="Liberation Sans" w:hAnsi="Liberation Sans"/>
          <w:color w:val="1F2937"/>
          <w:sz w:val="20"/>
        </w:rPr>
        <w:t>The accompanying Excel workbook contains the cleaned and classified record-level dataset, reconstructed dates, precision flags, overall sentiment, emotion labels, aspects, aspect-level sentiment, complaints and praise tags. It is intended to support review, classroom discussion and reproducibility.</w:t>
      </w:r>
    </w:p>
    <w:tbl>
      <w:tblPr>
        <w:tblW w:type="auto" w:w="0"/>
        <w:jc w:val="center"/>
        <w:tblLayout w:type="fixed"/>
        <w:tblLook w:firstColumn="1" w:firstRow="1" w:lastColumn="0" w:lastRow="0" w:noHBand="0" w:noVBand="1" w:val="04A0"/>
      </w:tblPr>
      <w:tblGrid>
        <w:gridCol w:w="2880"/>
        <w:gridCol w:w="6336"/>
      </w:tblGrid>
      <w:tr>
        <w:trPr>
          <w:tblHeader w:val="true"/>
          <w:cantSplit w:val="true"/>
        </w:trPr>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Audit Item</w:t>
            </w:r>
          </w:p>
        </w:tc>
        <w:tc>
          <w:tcPr>
            <w:tcW w:type="dxa" w:w="5112"/>
            <w:shd w:fill="006491"/>
            <w:tcMar>
              <w:top w:w="90" w:type="dxa"/>
              <w:start w:w="80" w:type="dxa"/>
              <w:bottom w:w="90" w:type="dxa"/>
              <w:end w:w="80" w:type="dxa"/>
            </w:tcMar>
            <w:vAlign w:val="center"/>
          </w:tcPr>
          <w:p>
            <w:pPr>
              <w:spacing w:before="0" w:after="0" w:line="259" w:lineRule="auto"/>
              <w:jc w:val="center"/>
            </w:pPr>
            <w:r>
              <w:rPr>
                <w:rFonts w:ascii="Liberation Sans" w:hAnsi="Liberation Sans"/>
                <w:b/>
                <w:color w:val="FFFFFF"/>
                <w:sz w:val="18"/>
              </w:rPr>
              <w:t>Value</w:t>
            </w:r>
          </w:p>
        </w:tc>
      </w:tr>
      <w:tr>
        <w:trPr>
          <w:cantSplit w:val="true"/>
        </w:trPr>
        <w:tc>
          <w:tcPr>
            <w:tcW w:type="dxa" w:w="28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Supporting workbook</w:t>
            </w:r>
          </w:p>
        </w:tc>
        <w:tc>
          <w:tcPr>
            <w:tcW w:type="dxa" w:w="63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dominos-sentiment-analysis-workbook.xlsx</w:t>
            </w:r>
          </w:p>
        </w:tc>
      </w:tr>
      <w:tr>
        <w:trPr>
          <w:cantSplit w:val="true"/>
        </w:trPr>
        <w:tc>
          <w:tcPr>
            <w:tcW w:type="dxa" w:w="28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Raw source workbook</w:t>
            </w:r>
          </w:p>
        </w:tc>
        <w:tc>
          <w:tcPr>
            <w:tcW w:type="dxa" w:w="63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raw-comments.xlsx</w:t>
            </w:r>
          </w:p>
        </w:tc>
      </w:tr>
      <w:tr>
        <w:trPr>
          <w:cantSplit w:val="true"/>
        </w:trPr>
        <w:tc>
          <w:tcPr>
            <w:tcW w:type="dxa" w:w="28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Analytical denominator</w:t>
            </w:r>
          </w:p>
        </w:tc>
        <w:tc>
          <w:tcPr>
            <w:tcW w:type="dxa" w:w="63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129 usable comments</w:t>
            </w:r>
          </w:p>
        </w:tc>
      </w:tr>
      <w:tr>
        <w:trPr>
          <w:cantSplit w:val="true"/>
        </w:trPr>
        <w:tc>
          <w:tcPr>
            <w:tcW w:type="dxa" w:w="28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Excluded item</w:t>
            </w:r>
          </w:p>
        </w:tc>
        <w:tc>
          <w:tcPr>
            <w:tcW w:type="dxa" w:w="63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ID 99 - no comment text</w:t>
            </w:r>
          </w:p>
        </w:tc>
      </w:tr>
      <w:tr>
        <w:trPr>
          <w:cantSplit w:val="true"/>
        </w:trPr>
        <w:tc>
          <w:tcPr>
            <w:tcW w:type="dxa" w:w="2880"/>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Date anchor</w:t>
            </w:r>
          </w:p>
        </w:tc>
        <w:tc>
          <w:tcPr>
            <w:tcW w:type="dxa" w:w="6336"/>
            <w:shd w:fill="FFFFFF"/>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21 July 2026 at 20:00 WAT</w:t>
            </w:r>
          </w:p>
        </w:tc>
      </w:tr>
      <w:tr>
        <w:trPr>
          <w:cantSplit w:val="true"/>
        </w:trPr>
        <w:tc>
          <w:tcPr>
            <w:tcW w:type="dxa" w:w="2880"/>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color w:val="1F2937"/>
                <w:sz w:val="18"/>
              </w:rPr>
              <w:t>Classification approach</w:t>
            </w:r>
          </w:p>
        </w:tc>
        <w:tc>
          <w:tcPr>
            <w:tcW w:type="dxa" w:w="6336"/>
            <w:shd w:fill="F8FAFC"/>
            <w:tcMar>
              <w:top w:w="75" w:type="dxa"/>
              <w:start w:w="75" w:type="dxa"/>
              <w:bottom w:w="75" w:type="dxa"/>
              <w:end w:w="75" w:type="dxa"/>
            </w:tcMar>
            <w:vAlign w:val="top"/>
            <w:tcBorders>
              <w:bottom w:val="single" w:sz="4" w:color="D1D5DB"/>
            </w:tcBorders>
          </w:tcPr>
          <w:p>
            <w:pPr>
              <w:spacing w:before="0" w:after="0" w:line="259" w:lineRule="auto"/>
            </w:pPr>
            <w:r>
              <w:rPr>
                <w:rFonts w:ascii="Liberation Sans" w:hAnsi="Liberation Sans"/>
                <w:b w:val="0"/>
                <w:color w:val="1F2937"/>
                <w:sz w:val="18"/>
              </w:rPr>
              <w:t>Human-reviewed structured coding with transparent category definitions</w:t>
            </w:r>
          </w:p>
        </w:tc>
      </w:tr>
    </w:tbl>
    <w:tbl>
      <w:tblPr>
        <w:tblW w:type="auto" w:w="0"/>
        <w:jc w:val="center"/>
        <w:tblLayout w:type="fixed"/>
        <w:tblLook w:firstColumn="1" w:firstRow="1" w:lastColumn="0" w:lastRow="0" w:noHBand="0" w:noVBand="1" w:val="04A0"/>
      </w:tblPr>
      <w:tblGrid>
        <w:gridCol w:w="202"/>
        <w:gridCol w:w="9000"/>
      </w:tblGrid>
      <w:tr>
        <w:tc>
          <w:tcPr>
            <w:tcW w:type="dxa" w:w="5112"/>
            <w:shd w:fill="F59E0B"/>
            <w:tcMar>
              <w:top w:w="60" w:type="dxa"/>
              <w:start w:w="0" w:type="dxa"/>
              <w:bottom w:w="60" w:type="dxa"/>
              <w:end w:w="0" w:type="dxa"/>
            </w:tcMar>
          </w:tcPr>
          <w:p/>
        </w:tc>
        <w:tc>
          <w:tcPr>
            <w:tcW w:type="dxa" w:w="5112"/>
            <w:shd w:fill="FFF4E0"/>
            <w:tcMar>
              <w:top w:w="120" w:type="dxa"/>
              <w:start w:w="150" w:type="dxa"/>
              <w:bottom w:w="120" w:type="dxa"/>
              <w:end w:w="150" w:type="dxa"/>
            </w:tcMar>
          </w:tcPr>
          <w:p>
            <w:pPr>
              <w:spacing w:before="0" w:after="40" w:line="259" w:lineRule="auto"/>
            </w:pPr>
            <w:r>
              <w:rPr>
                <w:rFonts w:ascii="Liberation Sans" w:hAnsi="Liberation Sans"/>
                <w:b/>
                <w:color w:val="F59E0B"/>
                <w:sz w:val="21"/>
              </w:rPr>
              <w:t>RECOMMENDED NEXT STUDY</w:t>
            </w:r>
          </w:p>
          <w:p>
            <w:pPr>
              <w:spacing w:before="0" w:after="0" w:line="259" w:lineRule="auto"/>
            </w:pPr>
            <w:r>
              <w:rPr>
                <w:rFonts w:ascii="Liberation Sans" w:hAnsi="Liberation Sans"/>
                <w:color w:val="1F2937"/>
                <w:sz w:val="19"/>
              </w:rPr>
              <w:t>Collect a larger stratified sample by market, platform, post type and month; include engagement metrics, verified transaction linkage where possible, and a competitor sample. Use the present taxonomy as the coding framework for the expanded study.</w:t>
            </w:r>
          </w:p>
        </w:tc>
      </w:tr>
    </w:tbl>
    <w:p>
      <w:pPr>
        <w:spacing w:after="20"/>
      </w:pPr>
    </w:p>
    <w:sectPr w:rsidR="00FC693F" w:rsidRPr="0006063C" w:rsidSect="00034616">
      <w:headerReference w:type="default" r:id="rId9"/>
      <w:footerReference w:type="default" r:id="rId10"/>
      <w:pgSz w:w="12240" w:h="15840"/>
      <w:pgMar w:top="893" w:right="1008" w:bottom="893"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488"/>
      <w:gridCol w:w="1728"/>
    </w:tblGrid>
    <w:tr>
      <w:tc>
        <w:tcPr>
          <w:tcW w:type="dxa" w:w="4608"/>
        </w:tcPr>
        <w:p>
          <w:pPr>
            <w:spacing w:before="0" w:after="0" w:line="259" w:lineRule="auto"/>
          </w:pPr>
          <w:r>
            <w:rPr>
              <w:rFonts w:ascii="Liberation Sans" w:hAnsi="Liberation Sans"/>
              <w:color w:val="6B7280"/>
              <w:sz w:val="15"/>
            </w:rPr>
            <w:t>Prepared by Peter Nnamdi Ileh | 21 July 2026 | Exploratory class activity</w:t>
          </w:r>
        </w:p>
      </w:tc>
      <w:tc>
        <w:tcPr>
          <w:tcW w:type="dxa" w:w="4608"/>
        </w:tcPr>
        <w:p>
          <w:pPr>
            <w:jc w:val="right"/>
          </w:pPr>
          <w:r>
            <w:rPr>
              <w:rFonts w:ascii="Liberation Sans" w:hAnsi="Liberation Sans"/>
              <w:color w:val="6B7280"/>
              <w:sz w:val="16"/>
            </w:rPr>
            <w:t xml:space="preserve">Page </w:t>
          </w:r>
          <w:fldSimple w:instr="PAGE">
            <w:r>
              <w:rPr>
                <w:color w:val="6B7280"/>
                <w:sz w:val="16"/>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59" w:lineRule="auto"/>
      <w:jc w:val="left"/>
      <w:pBdr>
        <w:bottom w:val="single" w:sz="6" w:space="1" w:color="E31837"/>
      </w:pBdr>
    </w:pPr>
    <w:r>
      <w:rPr>
        <w:rFonts w:ascii="Liberation Sans" w:hAnsi="Liberation Sans"/>
        <w:b/>
        <w:color w:val="006491"/>
        <w:sz w:val="17"/>
      </w:rPr>
      <w:t>DOMINO'S PIZZA</w:t>
    </w:r>
    <w:r>
      <w:rPr>
        <w:rFonts w:ascii="Liberation Sans" w:hAnsi="Liberation Sans"/>
        <w:color w:val="6B7280"/>
        <w:sz w:val="17"/>
      </w:rPr>
      <w:t xml:space="preserve">  |  Sentiment, Emotion &amp; Brand Perception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rPr>
      <w:rFonts w:ascii="Liberation Sans" w:hAnsi="Liberation Sans"/>
      <w:i/>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Domino's Pizza Sentiment, Emotion and Brand Perception Analysis Report</dc:title>
  <dc:subject>Corporate social media customer experience analysis</dc:subject>
  <dc:creator>Peter Nnamdi Ileh</dc:creator>
  <cp:keywords>Dominos, sentiment analysis, emotion analysis, brand perception, customer experience</cp:keywords>
  <dc:description>Prepared from 130 manually collected social media records; 129 usable comments.</dc:description>
  <cp:lastModifiedBy/>
  <cp:revision>1</cp:revision>
  <dcterms:created xsi:type="dcterms:W3CDTF">2013-12-23T23:15:00Z</dcterms:created>
  <dcterms:modified xsi:type="dcterms:W3CDTF">2013-12-23T23:15:00Z</dcterms:modified>
  <cp:category/>
</cp:coreProperties>
</file>