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8DF05" w14:textId="4F8A4F2A" w:rsidR="002F0376" w:rsidRPr="002F0376" w:rsidRDefault="002F0376" w:rsidP="002F0376">
      <w:pPr>
        <w:rPr>
          <w:sz w:val="36"/>
          <w:szCs w:val="36"/>
        </w:rPr>
      </w:pPr>
      <w:r w:rsidRPr="002F0376">
        <w:rPr>
          <w:b/>
          <w:bCs/>
          <w:sz w:val="36"/>
          <w:szCs w:val="36"/>
        </w:rPr>
        <w:t xml:space="preserve">Documentazione Chain of </w:t>
      </w:r>
      <w:proofErr w:type="spellStart"/>
      <w:r w:rsidRPr="002F0376">
        <w:rPr>
          <w:b/>
          <w:bCs/>
          <w:sz w:val="36"/>
          <w:szCs w:val="36"/>
        </w:rPr>
        <w:t>Responsibility</w:t>
      </w:r>
      <w:proofErr w:type="spellEnd"/>
      <w:r w:rsidRPr="002F0376">
        <w:rPr>
          <w:b/>
          <w:bCs/>
          <w:sz w:val="36"/>
          <w:szCs w:val="36"/>
        </w:rPr>
        <w:t xml:space="preserve"> </w:t>
      </w:r>
    </w:p>
    <w:p w14:paraId="1E70995C" w14:textId="682B93F8" w:rsidR="002F0376" w:rsidRPr="002F0376" w:rsidRDefault="002F0376" w:rsidP="002F0376">
      <w:pPr>
        <w:spacing w:after="0"/>
      </w:pPr>
      <w:r w:rsidRPr="002F0376">
        <w:rPr>
          <w:b/>
          <w:bCs/>
        </w:rPr>
        <w:t>Cos</w:t>
      </w:r>
      <w:r>
        <w:rPr>
          <w:b/>
          <w:bCs/>
        </w:rPr>
        <w:t>’è</w:t>
      </w:r>
      <w:r w:rsidRPr="002F0376">
        <w:rPr>
          <w:b/>
          <w:bCs/>
        </w:rPr>
        <w:t xml:space="preserve"> </w:t>
      </w:r>
    </w:p>
    <w:p w14:paraId="60B83064" w14:textId="77777777" w:rsidR="002F0376" w:rsidRPr="002F0376" w:rsidRDefault="002F0376" w:rsidP="002F0376">
      <w:pPr>
        <w:spacing w:after="0"/>
      </w:pPr>
      <w:r w:rsidRPr="002F0376">
        <w:t xml:space="preserve">Chain of </w:t>
      </w:r>
      <w:proofErr w:type="spellStart"/>
      <w:r w:rsidRPr="002F0376">
        <w:t>Responsibility</w:t>
      </w:r>
      <w:proofErr w:type="spellEnd"/>
      <w:r w:rsidRPr="002F0376">
        <w:t xml:space="preserve"> è un pattern comportamentale che permette di passare una richiesta da un oggetto al successivo fino a quando qualcuno la gestisce. Ogni </w:t>
      </w:r>
      <w:proofErr w:type="spellStart"/>
      <w:r w:rsidRPr="002F0376">
        <w:t>handler</w:t>
      </w:r>
      <w:proofErr w:type="spellEnd"/>
      <w:r w:rsidRPr="002F0376">
        <w:t xml:space="preserve"> decide in autonomia se trattare la richiesta o inoltrarla.</w:t>
      </w:r>
    </w:p>
    <w:p w14:paraId="15256198" w14:textId="77777777" w:rsidR="002F0376" w:rsidRPr="002F0376" w:rsidRDefault="002F0376" w:rsidP="002F0376">
      <w:pPr>
        <w:spacing w:after="0"/>
      </w:pPr>
      <w:r w:rsidRPr="002F0376">
        <w:rPr>
          <w:b/>
          <w:bCs/>
        </w:rPr>
        <w:t>Idea di base</w:t>
      </w:r>
    </w:p>
    <w:p w14:paraId="561DC1F5" w14:textId="77777777" w:rsidR="002F0376" w:rsidRPr="002F0376" w:rsidRDefault="002F0376" w:rsidP="002F0376">
      <w:pPr>
        <w:spacing w:after="0"/>
      </w:pPr>
      <w:r w:rsidRPr="002F0376">
        <w:t>Il client invia la richiesta al primo elemento della catena. Se quel gestore non è adatto, richiama il successore. In questo modo il client non deve sapere chi risolverà davvero la richiesta.</w:t>
      </w:r>
    </w:p>
    <w:p w14:paraId="4EA6C79E" w14:textId="77777777" w:rsidR="002F0376" w:rsidRPr="002F0376" w:rsidRDefault="002F0376" w:rsidP="002F0376">
      <w:pPr>
        <w:spacing w:after="0"/>
      </w:pPr>
      <w:r w:rsidRPr="002F0376">
        <w:rPr>
          <w:b/>
          <w:bCs/>
        </w:rPr>
        <w:t>Ruoli del pattern</w:t>
      </w:r>
    </w:p>
    <w:p w14:paraId="6F44DCA6" w14:textId="77777777" w:rsidR="002F0376" w:rsidRPr="002F0376" w:rsidRDefault="002F0376" w:rsidP="002F0376">
      <w:pPr>
        <w:spacing w:after="0"/>
      </w:pPr>
      <w:r w:rsidRPr="002F0376">
        <w:t xml:space="preserve">Handler: classe astratta che contiene il riferimento al successivo e il metodo </w:t>
      </w:r>
      <w:proofErr w:type="spellStart"/>
      <w:r w:rsidRPr="002F0376">
        <w:t>handleRequest</w:t>
      </w:r>
      <w:proofErr w:type="spellEnd"/>
      <w:r w:rsidRPr="002F0376">
        <w:t>. ConcreteHandler1 e ConcreteHandler2: gestori concreti con regole diverse. Client: crea la catena e invia le richieste.</w:t>
      </w:r>
    </w:p>
    <w:p w14:paraId="3FD1CDDB" w14:textId="77777777" w:rsidR="002F0376" w:rsidRPr="002F0376" w:rsidRDefault="002F0376" w:rsidP="002F0376">
      <w:pPr>
        <w:spacing w:after="0"/>
      </w:pPr>
      <w:r w:rsidRPr="002F0376">
        <w:rPr>
          <w:b/>
          <w:bCs/>
        </w:rPr>
        <w:t>Esempio usato</w:t>
      </w:r>
    </w:p>
    <w:p w14:paraId="68FFB174" w14:textId="344790A0" w:rsidR="002F0376" w:rsidRDefault="002F0376" w:rsidP="002F0376">
      <w:pPr>
        <w:spacing w:after="0"/>
      </w:pPr>
      <w:r w:rsidRPr="002F0376">
        <w:t>Nell’esempio</w:t>
      </w:r>
      <w:r w:rsidRPr="002F0376">
        <w:t xml:space="preserve">, </w:t>
      </w:r>
      <w:r>
        <w:t>Handler (classe astratta)</w:t>
      </w:r>
      <w:r w:rsidRPr="002F0376">
        <w:t xml:space="preserve"> definisce</w:t>
      </w:r>
      <w:r w:rsidRPr="002F0376">
        <w:t xml:space="preserve"> la base per </w:t>
      </w:r>
      <w:r>
        <w:t xml:space="preserve">gli </w:t>
      </w:r>
      <w:proofErr w:type="spellStart"/>
      <w:r>
        <w:t>handler</w:t>
      </w:r>
      <w:proofErr w:type="spellEnd"/>
      <w:r>
        <w:t xml:space="preserve"> concreti in modo da </w:t>
      </w:r>
      <w:r w:rsidRPr="002F0376">
        <w:t>soddisfare la richiesta</w:t>
      </w:r>
      <w:r>
        <w:t xml:space="preserve">. </w:t>
      </w:r>
    </w:p>
    <w:p w14:paraId="3C7399CC" w14:textId="2BDB4E5C" w:rsidR="002F0376" w:rsidRDefault="002F0376" w:rsidP="002F0376">
      <w:pPr>
        <w:spacing w:after="0"/>
      </w:pPr>
      <w:r w:rsidRPr="002F0376">
        <w:drawing>
          <wp:inline distT="0" distB="0" distL="0" distR="0" wp14:anchorId="1759EF99" wp14:editId="01B7351C">
            <wp:extent cx="6645910" cy="789305"/>
            <wp:effectExtent l="0" t="0" r="2540" b="0"/>
            <wp:docPr id="73629063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90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A220" w14:textId="577443AC" w:rsidR="002F0376" w:rsidRDefault="002F0376" w:rsidP="002F0376">
      <w:pPr>
        <w:spacing w:after="0"/>
      </w:pPr>
      <w:proofErr w:type="spellStart"/>
      <w:r w:rsidRPr="002F0376">
        <w:t>ConcreteHandler</w:t>
      </w:r>
      <w:proofErr w:type="spellEnd"/>
      <w:r w:rsidRPr="002F0376">
        <w:t xml:space="preserve"> gestisce i valori fino a 10</w:t>
      </w:r>
      <w:r>
        <w:t>.</w:t>
      </w:r>
    </w:p>
    <w:p w14:paraId="1BA6F322" w14:textId="7BA085D5" w:rsidR="002F0376" w:rsidRDefault="002F0376" w:rsidP="002F0376">
      <w:pPr>
        <w:spacing w:after="0"/>
      </w:pPr>
      <w:r w:rsidRPr="002F0376">
        <w:drawing>
          <wp:inline distT="0" distB="0" distL="0" distR="0" wp14:anchorId="583B4652" wp14:editId="59882806">
            <wp:extent cx="6645910" cy="1281430"/>
            <wp:effectExtent l="0" t="0" r="2540" b="0"/>
            <wp:docPr id="200364642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46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97C7" w14:textId="77777777" w:rsidR="002F0376" w:rsidRDefault="002F0376" w:rsidP="002F0376">
      <w:pPr>
        <w:spacing w:after="0"/>
      </w:pPr>
      <w:r>
        <w:t>M</w:t>
      </w:r>
      <w:r w:rsidRPr="002F0376">
        <w:t>entre ConcreteHandler2 gestisce quelli maggiori di 10.</w:t>
      </w:r>
    </w:p>
    <w:p w14:paraId="2AA1374C" w14:textId="4F3EDB27" w:rsidR="002F0376" w:rsidRDefault="002F0376" w:rsidP="002F0376">
      <w:pPr>
        <w:spacing w:after="0"/>
      </w:pPr>
      <w:r w:rsidRPr="002F0376">
        <w:drawing>
          <wp:inline distT="0" distB="0" distL="0" distR="0" wp14:anchorId="396A5430" wp14:editId="241683FB">
            <wp:extent cx="6645910" cy="1180465"/>
            <wp:effectExtent l="0" t="0" r="2540" b="635"/>
            <wp:docPr id="4909166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16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26A5" w14:textId="36A67347" w:rsidR="002F0376" w:rsidRDefault="002F0376" w:rsidP="002F0376">
      <w:pPr>
        <w:spacing w:after="0"/>
      </w:pPr>
      <w:r w:rsidRPr="002F0376">
        <w:t xml:space="preserve"> Il client invia prima 5 e poi 20 per mostrare il passaggio tra i due </w:t>
      </w:r>
      <w:proofErr w:type="spellStart"/>
      <w:r w:rsidRPr="002F0376">
        <w:t>handler</w:t>
      </w:r>
      <w:proofErr w:type="spellEnd"/>
      <w:r w:rsidRPr="002F0376">
        <w:t>.</w:t>
      </w:r>
    </w:p>
    <w:p w14:paraId="2AAA76C7" w14:textId="0506B627" w:rsidR="002F0376" w:rsidRDefault="002F0376" w:rsidP="002F0376">
      <w:pPr>
        <w:spacing w:after="0"/>
      </w:pPr>
      <w:r w:rsidRPr="002F0376">
        <w:drawing>
          <wp:inline distT="0" distB="0" distL="0" distR="0" wp14:anchorId="6D86A0CD" wp14:editId="60D3BFDF">
            <wp:extent cx="5607338" cy="1733639"/>
            <wp:effectExtent l="0" t="0" r="0" b="0"/>
            <wp:docPr id="185603723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37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7BE6" w14:textId="3A7FC7FE" w:rsidR="002F0376" w:rsidRPr="002F0376" w:rsidRDefault="002F0376" w:rsidP="002F0376">
      <w:pPr>
        <w:spacing w:after="0"/>
      </w:pPr>
      <w:r w:rsidRPr="002F0376">
        <w:drawing>
          <wp:inline distT="0" distB="0" distL="0" distR="0" wp14:anchorId="53282321" wp14:editId="45D88A3F">
            <wp:extent cx="2997354" cy="381020"/>
            <wp:effectExtent l="0" t="0" r="0" b="0"/>
            <wp:docPr id="4591417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41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6AD9" w14:textId="77777777" w:rsidR="002F0376" w:rsidRPr="002F0376" w:rsidRDefault="002F0376" w:rsidP="002F0376">
      <w:r w:rsidRPr="002F0376">
        <w:rPr>
          <w:b/>
          <w:bCs/>
        </w:rPr>
        <w:lastRenderedPageBreak/>
        <w:t>Come avviene il passaggio</w:t>
      </w:r>
    </w:p>
    <w:p w14:paraId="4DD5D7AE" w14:textId="77777777" w:rsidR="002F0376" w:rsidRPr="002F0376" w:rsidRDefault="002F0376" w:rsidP="002F0376">
      <w:r w:rsidRPr="002F0376">
        <w:t xml:space="preserve">Il passaggio avviene grazie al campo successor. Se il primo </w:t>
      </w:r>
      <w:proofErr w:type="spellStart"/>
      <w:r w:rsidRPr="002F0376">
        <w:t>handler</w:t>
      </w:r>
      <w:proofErr w:type="spellEnd"/>
      <w:r w:rsidRPr="002F0376">
        <w:t xml:space="preserve"> non può gestire la richiesta, esegue </w:t>
      </w:r>
      <w:proofErr w:type="spellStart"/>
      <w:proofErr w:type="gramStart"/>
      <w:r w:rsidRPr="002F0376">
        <w:t>successor.handleRequest</w:t>
      </w:r>
      <w:proofErr w:type="spellEnd"/>
      <w:proofErr w:type="gramEnd"/>
      <w:r w:rsidRPr="002F0376">
        <w:t>(</w:t>
      </w:r>
      <w:proofErr w:type="spellStart"/>
      <w:r w:rsidRPr="002F0376">
        <w:t>request</w:t>
      </w:r>
      <w:proofErr w:type="spellEnd"/>
      <w:r w:rsidRPr="002F0376">
        <w:t>). Questa chiamata sposta il controllo al gestore successivo.</w:t>
      </w:r>
    </w:p>
    <w:p w14:paraId="1FC007AD" w14:textId="77777777" w:rsidR="002F0376" w:rsidRPr="002F0376" w:rsidRDefault="002F0376" w:rsidP="002F0376">
      <w:r w:rsidRPr="002F0376">
        <w:rPr>
          <w:b/>
          <w:bCs/>
        </w:rPr>
        <w:t>Perché è utile</w:t>
      </w:r>
    </w:p>
    <w:p w14:paraId="24F34D0B" w14:textId="77777777" w:rsidR="002F0376" w:rsidRPr="002F0376" w:rsidRDefault="002F0376" w:rsidP="002F0376">
      <w:r w:rsidRPr="002F0376">
        <w:t xml:space="preserve">Questo pattern evita </w:t>
      </w:r>
      <w:proofErr w:type="spellStart"/>
      <w:r w:rsidRPr="002F0376">
        <w:t>if</w:t>
      </w:r>
      <w:proofErr w:type="spellEnd"/>
      <w:r w:rsidRPr="002F0376">
        <w:t xml:space="preserve">-else molto lunghi nel client, separa bene le responsabilità e permette di aggiungere nuovi </w:t>
      </w:r>
      <w:proofErr w:type="spellStart"/>
      <w:r w:rsidRPr="002F0376">
        <w:t>handler</w:t>
      </w:r>
      <w:proofErr w:type="spellEnd"/>
      <w:r w:rsidRPr="002F0376">
        <w:t xml:space="preserve"> senza riscrivere la logica esistente.</w:t>
      </w:r>
    </w:p>
    <w:p w14:paraId="24DF66A1" w14:textId="77777777" w:rsidR="002F0376" w:rsidRPr="002F0376" w:rsidRDefault="002F0376" w:rsidP="002F0376">
      <w:r w:rsidRPr="002F0376">
        <w:rPr>
          <w:b/>
          <w:bCs/>
        </w:rPr>
        <w:t>Conclusione</w:t>
      </w:r>
    </w:p>
    <w:p w14:paraId="2970FAD8" w14:textId="77777777" w:rsidR="002F0376" w:rsidRPr="002F0376" w:rsidRDefault="002F0376" w:rsidP="002F0376">
      <w:r w:rsidRPr="002F0376">
        <w:t xml:space="preserve">Il Chain of </w:t>
      </w:r>
      <w:proofErr w:type="spellStart"/>
      <w:r w:rsidRPr="002F0376">
        <w:t>Responsibility</w:t>
      </w:r>
      <w:proofErr w:type="spellEnd"/>
      <w:r w:rsidRPr="002F0376">
        <w:t xml:space="preserve"> è utile quando una richiesta può essere gestita da più oggetti diversi e vuoi lasciare a ogni oggetto la possibilità di rispondere o inoltrare la richiesta.</w:t>
      </w:r>
    </w:p>
    <w:p w14:paraId="1C21DDBE" w14:textId="77777777" w:rsidR="007F01EC" w:rsidRDefault="007F01EC"/>
    <w:sectPr w:rsidR="007F01EC" w:rsidSect="00AC43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354"/>
    <w:rsid w:val="002F0376"/>
    <w:rsid w:val="00730066"/>
    <w:rsid w:val="007F01EC"/>
    <w:rsid w:val="00896A31"/>
    <w:rsid w:val="00A53CFF"/>
    <w:rsid w:val="00AC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9B65"/>
  <w15:chartTrackingRefBased/>
  <w15:docId w15:val="{3ADCCF85-2EFC-4015-81D7-06C64B4A7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C4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C4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4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4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4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4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4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4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4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C4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C4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4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435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435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435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435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435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435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C4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C4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C4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C4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4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435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435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435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4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435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4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6EAB2-7A29-4296-88DE-4E7AF5AA0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ROCCO GARREFFA</dc:creator>
  <cp:keywords/>
  <dc:description/>
  <cp:lastModifiedBy>MATTEO ROCCO GARREFFA</cp:lastModifiedBy>
  <cp:revision>1</cp:revision>
  <dcterms:created xsi:type="dcterms:W3CDTF">2026-05-11T14:09:00Z</dcterms:created>
  <dcterms:modified xsi:type="dcterms:W3CDTF">2026-05-11T14:41:00Z</dcterms:modified>
</cp:coreProperties>
</file>