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2cjabkb3sue6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dnuddfcvm4qr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nnc9s5bpb1os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kzj3w8venaa6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blgo7b45hhi1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btxjwq536s2g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