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 с задачей о погоне и решить одну из таких задач.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файлами по лабораторной работе №2, находящимися в открытом доступе на ТУИС.</w:t>
      </w:r>
    </w:p>
    <w:p>
      <w:pPr>
        <w:numPr>
          <w:ilvl w:val="0"/>
          <w:numId w:val="1001"/>
        </w:numPr>
        <w:pStyle w:val="Compact"/>
      </w:pPr>
      <w:r>
        <w:t xml:space="preserve">Решить свой вариант задачи о погоне, расположенный в файле с вариантами.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Figure 1: Ознакомление с теорией по задаче о погоне" title="" id="1" name="Picture"/>
            <a:graphic>
              <a:graphicData uri="http://schemas.openxmlformats.org/drawingml/2006/picture">
                <pic:pic>
                  <pic:nvPicPr>
                    <pic:cNvPr descr="image/the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Ознакомление с теорией по задаче о погоне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Figure 2: Вариант лабораторной работы №43" title="" id="1" name="Picture"/>
            <a:graphic>
              <a:graphicData uri="http://schemas.openxmlformats.org/drawingml/2006/picture">
                <pic:pic>
                  <pic:nvPicPr>
                    <pic:cNvPr descr="image/varia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Вариант лабораторной работы №43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Figure 3: Первы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Первый случай задачи</w:t>
      </w:r>
    </w:p>
    <w:p>
      <w:pPr>
        <w:pStyle w:val="CaptionedFigure"/>
      </w:pPr>
      <w:bookmarkStart w:id="29" w:name="fig:004"/>
      <w:r>
        <w:drawing>
          <wp:inline>
            <wp:extent cx="5334000" cy="3000375"/>
            <wp:effectExtent b="0" l="0" r="0" t="0"/>
            <wp:docPr descr="Figure 4: Второй случай задачи" title="" id="1" name="Picture"/>
            <a:graphic>
              <a:graphicData uri="http://schemas.openxmlformats.org/drawingml/2006/picture">
                <pic:pic>
                  <pic:nvPicPr>
                    <pic:cNvPr descr="image/s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Второй случай задачи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задачей о погоне и научился ее решать.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Попов Олег Павлович</dc:creator>
  <dc:language>ru-RU</dc:language>
  <cp:keywords/>
  <dcterms:created xsi:type="dcterms:W3CDTF">2021-02-20T10:53:03Z</dcterms:created>
  <dcterms:modified xsi:type="dcterms:W3CDTF">2021-02-20T10:53:03Z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