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MASTER SERVICE AGREEMENT</w:t>
      </w:r>
    </w:p>
    <w:p>
      <w:r>
        <w:t>Vendor: SecureCloud Tech</w:t>
      </w:r>
    </w:p>
    <w:p>
      <w:r>
        <w:t>Agreement Type: SaaS Master Agreement</w:t>
      </w:r>
    </w:p>
    <w:p>
      <w:r>
        <w:t>Effective Date: November 15, 2026</w:t>
      </w:r>
    </w:p>
    <w:p>
      <w:r>
        <w:t>Renewal Date: November 15, 2029</w:t>
      </w:r>
    </w:p>
    <w:p>
      <w:r>
        <w:t>Auto-Renewal: No. Mutual written agreement required for renewal.</w:t>
      </w:r>
    </w:p>
    <w:p>
      <w:r>
        <w:t>Price Escalation: Prices are locked for the initial 3-year term. Any increase thereafter is capped at the lesser of CPI or 3%.</w:t>
      </w:r>
    </w:p>
    <w:p>
      <w:r>
        <w:t>Payment Terms: Net 60</w:t>
      </w:r>
    </w:p>
    <w:p>
      <w:r>
        <w:t>SLA: 99.99% uptime commitment.</w:t>
      </w:r>
    </w:p>
    <w:p>
      <w:r>
        <w:t>Termination Clause: Client may terminate for convenience with 30 days written notice. Either party may terminate for material breach with 15 days cure period.</w:t>
      </w:r>
    </w:p>
    <w:p>
      <w:r>
        <w:t>Liability Clause: Mutual limitation of liability capped at 2x total contract value.</w:t>
      </w:r>
    </w:p>
    <w:p>
      <w:r>
        <w:t>Compliance Clause: Vendor must comply with GDPR, CCPA, and maintain SOC2 Type II certification at all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