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DATA CLEANING AND EXPLORATORY ANALYSIS REPORT</w:t>
      </w:r>
    </w:p>
    <w:p>
      <w:r>
        <w:rPr>
          <w:b/>
        </w:rPr>
        <w:t xml:space="preserve">Dataset: </w:t>
      </w:r>
      <w:r>
        <w:t>employee_data_messy.csv</w:t>
      </w:r>
    </w:p>
    <w:p>
      <w:pPr>
        <w:pStyle w:val="Heading1"/>
      </w:pPr>
      <w:r>
        <w:t>1. Introduction</w:t>
      </w:r>
    </w:p>
    <w:p>
      <w:r>
        <w:t>This project involved cleaning and analysing employee records from a fictional company's HR system. The dataset contained missing values, inconsistent formatting, duplicate records, implausible values, and malformed email addresses.</w:t>
      </w:r>
    </w:p>
    <w:p>
      <w:pPr>
        <w:pStyle w:val="Heading1"/>
      </w:pPr>
      <w:r>
        <w:t>2. Data Cleaning Procedures</w:t>
      </w:r>
    </w:p>
    <w:p>
      <w:r>
        <w:t>The JoinDate column was standardised to YYYY-MM-DD. Department names were standardised to title case, with HR and IT acronyms corrected, and email addresses were converted to lowercase. Leading and trailing whitespace was removed from text fields, and numeric fields were converted to numeric data types.</w:t>
      </w:r>
    </w:p>
    <w:p>
      <w:r>
        <w:t>Exact duplicate rows were identified and removed. Negative salaries, unrealistic ages, and performance scores outside the permitted range of 1.0 to 5.0 were treated as invalid. Missing numeric values were filled using the median of their respective columns because the median is less sensitive to extreme values than the mean.</w:t>
      </w:r>
    </w:p>
    <w:p>
      <w:r>
        <w:t>Email addresses were checked using a regular-expression pattern. One incomplete address, patricia.anderson@, associated with Patricia Anderson (EmployeeID 111), was flagged for review and was not replaced because the correct address could not be verified.</w:t>
      </w:r>
    </w:p>
    <w:p>
      <w:pPr>
        <w:pStyle w:val="Heading1"/>
      </w:pPr>
      <w:r>
        <w:t>3. Exploratory Data Analysis and Findings</w:t>
      </w:r>
    </w:p>
    <w:p>
      <w:pPr>
        <w:pStyle w:val="Heading2"/>
      </w:pPr>
      <w:r>
        <w:t>3.1 Average Salary per Department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20"/>
            </w:pPr>
            <w:r>
              <w:rPr>
                <w:rFonts w:ascii="Times New Roman" w:hAnsi="Times New Roman"/>
                <w:b/>
                <w:sz w:val="19"/>
              </w:rPr>
              <w:t>Department</w:t>
            </w:r>
          </w:p>
        </w:tc>
        <w:tc>
          <w:tcPr>
            <w:tcW w:type="dxa" w:w="5040"/>
            <w:vAlign w:val="center"/>
          </w:tcPr>
          <w:p>
            <w:pPr>
              <w:spacing w:after="20"/>
            </w:pPr>
            <w:r>
              <w:rPr>
                <w:rFonts w:ascii="Times New Roman" w:hAnsi="Times New Roman"/>
                <w:b/>
                <w:sz w:val="19"/>
              </w:rPr>
              <w:t>Average salary (USD)</w:t>
            </w:r>
          </w:p>
        </w:tc>
      </w:tr>
      <w:tr>
        <w:tc>
          <w:tcPr>
            <w:tcW w:type="dxa" w:w="5040"/>
            <w:vAlign w:val="center"/>
          </w:tcPr>
          <w:p>
            <w:pPr>
              <w:spacing w:after="20"/>
            </w:pPr>
            <w:r>
              <w:rPr>
                <w:rFonts w:ascii="Times New Roman" w:hAnsi="Times New Roman"/>
                <w:sz w:val="19"/>
              </w:rPr>
              <w:t>HR</w:t>
            </w:r>
          </w:p>
        </w:tc>
        <w:tc>
          <w:tcPr>
            <w:tcW w:type="dxa" w:w="5040"/>
            <w:vAlign w:val="center"/>
          </w:tcPr>
          <w:p>
            <w:pPr>
              <w:spacing w:after="20"/>
            </w:pPr>
            <w:r>
              <w:rPr>
                <w:rFonts w:ascii="Times New Roman" w:hAnsi="Times New Roman"/>
                <w:sz w:val="19"/>
              </w:rPr>
              <w:t>$51,250.00</w:t>
            </w:r>
          </w:p>
        </w:tc>
      </w:tr>
      <w:tr>
        <w:tc>
          <w:tcPr>
            <w:tcW w:type="dxa" w:w="5040"/>
            <w:vAlign w:val="center"/>
          </w:tcPr>
          <w:p>
            <w:pPr>
              <w:spacing w:after="20"/>
            </w:pPr>
            <w:r>
              <w:rPr>
                <w:rFonts w:ascii="Times New Roman" w:hAnsi="Times New Roman"/>
                <w:sz w:val="19"/>
              </w:rPr>
              <w:t>IT</w:t>
            </w:r>
          </w:p>
        </w:tc>
        <w:tc>
          <w:tcPr>
            <w:tcW w:type="dxa" w:w="5040"/>
            <w:vAlign w:val="center"/>
          </w:tcPr>
          <w:p>
            <w:pPr>
              <w:spacing w:after="20"/>
            </w:pPr>
            <w:r>
              <w:rPr>
                <w:rFonts w:ascii="Times New Roman" w:hAnsi="Times New Roman"/>
                <w:sz w:val="19"/>
              </w:rPr>
              <w:t>$69,000.00</w:t>
            </w:r>
          </w:p>
        </w:tc>
      </w:tr>
      <w:tr>
        <w:tc>
          <w:tcPr>
            <w:tcW w:type="dxa" w:w="5040"/>
            <w:vAlign w:val="center"/>
          </w:tcPr>
          <w:p>
            <w:pPr>
              <w:spacing w:after="20"/>
            </w:pPr>
            <w:r>
              <w:rPr>
                <w:rFonts w:ascii="Times New Roman" w:hAnsi="Times New Roman"/>
                <w:sz w:val="19"/>
              </w:rPr>
              <w:t>Marketing</w:t>
            </w:r>
          </w:p>
        </w:tc>
        <w:tc>
          <w:tcPr>
            <w:tcW w:type="dxa" w:w="5040"/>
            <w:vAlign w:val="center"/>
          </w:tcPr>
          <w:p>
            <w:pPr>
              <w:spacing w:after="20"/>
            </w:pPr>
            <w:r>
              <w:rPr>
                <w:rFonts w:ascii="Times New Roman" w:hAnsi="Times New Roman"/>
                <w:sz w:val="19"/>
              </w:rPr>
              <w:t>$62,083.33</w:t>
            </w:r>
          </w:p>
        </w:tc>
      </w:tr>
      <w:tr>
        <w:tc>
          <w:tcPr>
            <w:tcW w:type="dxa" w:w="5040"/>
            <w:vAlign w:val="center"/>
          </w:tcPr>
          <w:p>
            <w:pPr>
              <w:spacing w:after="20"/>
            </w:pPr>
            <w:r>
              <w:rPr>
                <w:rFonts w:ascii="Times New Roman" w:hAnsi="Times New Roman"/>
                <w:sz w:val="19"/>
              </w:rPr>
              <w:t>Sales</w:t>
            </w:r>
          </w:p>
        </w:tc>
        <w:tc>
          <w:tcPr>
            <w:tcW w:type="dxa" w:w="5040"/>
            <w:vAlign w:val="center"/>
          </w:tcPr>
          <w:p>
            <w:pPr>
              <w:spacing w:after="20"/>
            </w:pPr>
            <w:r>
              <w:rPr>
                <w:rFonts w:ascii="Times New Roman" w:hAnsi="Times New Roman"/>
                <w:sz w:val="19"/>
              </w:rPr>
              <w:t>$57,666.67</w:t>
            </w:r>
          </w:p>
        </w:tc>
      </w:tr>
    </w:tbl>
    <w:p>
      <w:r>
        <w:t>IT had the highest average salary ($69,000.00), while HR had the lowest ($51,250.00). Marketing averaged $62,083.33 and Sales averaged $57,666.67.</w:t>
      </w:r>
    </w:p>
    <w:p>
      <w:pPr>
        <w:pStyle w:val="Heading2"/>
      </w:pPr>
      <w:r>
        <w:t>3.2 Department with the Highest Average Performance Score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20"/>
            </w:pPr>
            <w:r>
              <w:rPr>
                <w:rFonts w:ascii="Times New Roman" w:hAnsi="Times New Roman"/>
                <w:b/>
                <w:sz w:val="19"/>
              </w:rPr>
              <w:t>Department</w:t>
            </w:r>
          </w:p>
        </w:tc>
        <w:tc>
          <w:tcPr>
            <w:tcW w:type="dxa" w:w="5040"/>
            <w:vAlign w:val="center"/>
          </w:tcPr>
          <w:p>
            <w:pPr>
              <w:spacing w:after="20"/>
            </w:pPr>
            <w:r>
              <w:rPr>
                <w:rFonts w:ascii="Times New Roman" w:hAnsi="Times New Roman"/>
                <w:b/>
                <w:sz w:val="19"/>
              </w:rPr>
              <w:t>Average performance score</w:t>
            </w:r>
          </w:p>
        </w:tc>
      </w:tr>
      <w:tr>
        <w:tc>
          <w:tcPr>
            <w:tcW w:type="dxa" w:w="5040"/>
            <w:vAlign w:val="center"/>
          </w:tcPr>
          <w:p>
            <w:pPr>
              <w:spacing w:after="20"/>
            </w:pPr>
            <w:r>
              <w:rPr>
                <w:rFonts w:ascii="Times New Roman" w:hAnsi="Times New Roman"/>
                <w:sz w:val="19"/>
              </w:rPr>
              <w:t>HR</w:t>
            </w:r>
          </w:p>
        </w:tc>
        <w:tc>
          <w:tcPr>
            <w:tcW w:type="dxa" w:w="5040"/>
            <w:vAlign w:val="center"/>
          </w:tcPr>
          <w:p>
            <w:pPr>
              <w:spacing w:after="20"/>
            </w:pPr>
            <w:r>
              <w:rPr>
                <w:rFonts w:ascii="Times New Roman" w:hAnsi="Times New Roman"/>
                <w:sz w:val="19"/>
              </w:rPr>
              <w:t>3.467</w:t>
            </w:r>
          </w:p>
        </w:tc>
      </w:tr>
      <w:tr>
        <w:tc>
          <w:tcPr>
            <w:tcW w:type="dxa" w:w="5040"/>
            <w:vAlign w:val="center"/>
          </w:tcPr>
          <w:p>
            <w:pPr>
              <w:spacing w:after="20"/>
            </w:pPr>
            <w:r>
              <w:rPr>
                <w:rFonts w:ascii="Times New Roman" w:hAnsi="Times New Roman"/>
                <w:sz w:val="19"/>
              </w:rPr>
              <w:t>IT</w:t>
            </w:r>
          </w:p>
        </w:tc>
        <w:tc>
          <w:tcPr>
            <w:tcW w:type="dxa" w:w="5040"/>
            <w:vAlign w:val="center"/>
          </w:tcPr>
          <w:p>
            <w:pPr>
              <w:spacing w:after="20"/>
            </w:pPr>
            <w:r>
              <w:rPr>
                <w:rFonts w:ascii="Times New Roman" w:hAnsi="Times New Roman"/>
                <w:sz w:val="19"/>
              </w:rPr>
              <w:t>4.311</w:t>
            </w:r>
          </w:p>
        </w:tc>
      </w:tr>
      <w:tr>
        <w:tc>
          <w:tcPr>
            <w:tcW w:type="dxa" w:w="5040"/>
            <w:vAlign w:val="center"/>
          </w:tcPr>
          <w:p>
            <w:pPr>
              <w:spacing w:after="20"/>
            </w:pPr>
            <w:r>
              <w:rPr>
                <w:rFonts w:ascii="Times New Roman" w:hAnsi="Times New Roman"/>
                <w:sz w:val="19"/>
              </w:rPr>
              <w:t>Marketing</w:t>
            </w:r>
          </w:p>
        </w:tc>
        <w:tc>
          <w:tcPr>
            <w:tcW w:type="dxa" w:w="5040"/>
            <w:vAlign w:val="center"/>
          </w:tcPr>
          <w:p>
            <w:pPr>
              <w:spacing w:after="20"/>
            </w:pPr>
            <w:r>
              <w:rPr>
                <w:rFonts w:ascii="Times New Roman" w:hAnsi="Times New Roman"/>
                <w:sz w:val="19"/>
              </w:rPr>
              <w:t>3.750</w:t>
            </w:r>
          </w:p>
        </w:tc>
      </w:tr>
      <w:tr>
        <w:tc>
          <w:tcPr>
            <w:tcW w:type="dxa" w:w="5040"/>
            <w:vAlign w:val="center"/>
          </w:tcPr>
          <w:p>
            <w:pPr>
              <w:spacing w:after="20"/>
            </w:pPr>
            <w:r>
              <w:rPr>
                <w:rFonts w:ascii="Times New Roman" w:hAnsi="Times New Roman"/>
                <w:sz w:val="19"/>
              </w:rPr>
              <w:t>Sales</w:t>
            </w:r>
          </w:p>
        </w:tc>
        <w:tc>
          <w:tcPr>
            <w:tcW w:type="dxa" w:w="5040"/>
            <w:vAlign w:val="center"/>
          </w:tcPr>
          <w:p>
            <w:pPr>
              <w:spacing w:after="20"/>
            </w:pPr>
            <w:r>
              <w:rPr>
                <w:rFonts w:ascii="Times New Roman" w:hAnsi="Times New Roman"/>
                <w:sz w:val="19"/>
              </w:rPr>
              <w:t>3.889</w:t>
            </w:r>
          </w:p>
        </w:tc>
      </w:tr>
    </w:tbl>
    <w:p>
      <w:r>
        <w:t>IT recorded the highest average performance score (4.311 out of 5), followed by Sales (3.889), Marketing (3.750), and HR (3.467).</w:t>
      </w:r>
    </w:p>
    <w:p>
      <w:pPr>
        <w:pStyle w:val="Heading2"/>
      </w:pPr>
      <w:r>
        <w:t>3.3 Relationship Between Age and Performance Score</w:t>
      </w:r>
    </w:p>
    <w:p>
      <w:r>
        <w:t>The Pearson correlation coefficient was 0.459, indicating a moderate positive linear relationship between age and performance score in this dataset. This association does not establish that age causes changes in performance.</w:t>
      </w:r>
    </w:p>
    <w:p>
      <w:pPr>
        <w:pStyle w:val="Heading2"/>
      </w:pPr>
      <w:r>
        <w:t>3.4 Number of Employees Who Joined Each Year</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20"/>
            </w:pPr>
            <w:r>
              <w:rPr>
                <w:rFonts w:ascii="Times New Roman" w:hAnsi="Times New Roman"/>
                <w:b/>
                <w:sz w:val="19"/>
              </w:rPr>
              <w:t>Year</w:t>
            </w:r>
          </w:p>
        </w:tc>
        <w:tc>
          <w:tcPr>
            <w:tcW w:type="dxa" w:w="5040"/>
            <w:vAlign w:val="center"/>
          </w:tcPr>
          <w:p>
            <w:pPr>
              <w:spacing w:after="20"/>
            </w:pPr>
            <w:r>
              <w:rPr>
                <w:rFonts w:ascii="Times New Roman" w:hAnsi="Times New Roman"/>
                <w:b/>
                <w:sz w:val="19"/>
              </w:rPr>
              <w:t>Number of employees</w:t>
            </w:r>
          </w:p>
        </w:tc>
      </w:tr>
      <w:tr>
        <w:tc>
          <w:tcPr>
            <w:tcW w:type="dxa" w:w="5040"/>
            <w:vAlign w:val="center"/>
          </w:tcPr>
          <w:p>
            <w:pPr>
              <w:spacing w:after="20"/>
            </w:pPr>
            <w:r>
              <w:rPr>
                <w:rFonts w:ascii="Times New Roman" w:hAnsi="Times New Roman"/>
                <w:sz w:val="19"/>
              </w:rPr>
              <w:t>2017</w:t>
            </w:r>
          </w:p>
        </w:tc>
        <w:tc>
          <w:tcPr>
            <w:tcW w:type="dxa" w:w="5040"/>
            <w:vAlign w:val="center"/>
          </w:tcPr>
          <w:p>
            <w:pPr>
              <w:spacing w:after="20"/>
            </w:pPr>
            <w:r>
              <w:rPr>
                <w:rFonts w:ascii="Times New Roman" w:hAnsi="Times New Roman"/>
                <w:sz w:val="19"/>
              </w:rPr>
              <w:t>2</w:t>
            </w:r>
          </w:p>
        </w:tc>
      </w:tr>
      <w:tr>
        <w:tc>
          <w:tcPr>
            <w:tcW w:type="dxa" w:w="5040"/>
            <w:vAlign w:val="center"/>
          </w:tcPr>
          <w:p>
            <w:pPr>
              <w:spacing w:after="20"/>
            </w:pPr>
            <w:r>
              <w:rPr>
                <w:rFonts w:ascii="Times New Roman" w:hAnsi="Times New Roman"/>
                <w:sz w:val="19"/>
              </w:rPr>
              <w:t>2018</w:t>
            </w:r>
          </w:p>
        </w:tc>
        <w:tc>
          <w:tcPr>
            <w:tcW w:type="dxa" w:w="5040"/>
            <w:vAlign w:val="center"/>
          </w:tcPr>
          <w:p>
            <w:pPr>
              <w:spacing w:after="20"/>
            </w:pPr>
            <w:r>
              <w:rPr>
                <w:rFonts w:ascii="Times New Roman" w:hAnsi="Times New Roman"/>
                <w:sz w:val="19"/>
              </w:rPr>
              <w:t>4</w:t>
            </w:r>
          </w:p>
        </w:tc>
      </w:tr>
      <w:tr>
        <w:tc>
          <w:tcPr>
            <w:tcW w:type="dxa" w:w="5040"/>
            <w:vAlign w:val="center"/>
          </w:tcPr>
          <w:p>
            <w:pPr>
              <w:spacing w:after="20"/>
            </w:pPr>
            <w:r>
              <w:rPr>
                <w:rFonts w:ascii="Times New Roman" w:hAnsi="Times New Roman"/>
                <w:sz w:val="19"/>
              </w:rPr>
              <w:t>2019</w:t>
            </w:r>
          </w:p>
        </w:tc>
        <w:tc>
          <w:tcPr>
            <w:tcW w:type="dxa" w:w="5040"/>
            <w:vAlign w:val="center"/>
          </w:tcPr>
          <w:p>
            <w:pPr>
              <w:spacing w:after="20"/>
            </w:pPr>
            <w:r>
              <w:rPr>
                <w:rFonts w:ascii="Times New Roman" w:hAnsi="Times New Roman"/>
                <w:sz w:val="19"/>
              </w:rPr>
              <w:t>8</w:t>
            </w:r>
          </w:p>
        </w:tc>
      </w:tr>
      <w:tr>
        <w:tc>
          <w:tcPr>
            <w:tcW w:type="dxa" w:w="5040"/>
            <w:vAlign w:val="center"/>
          </w:tcPr>
          <w:p>
            <w:pPr>
              <w:spacing w:after="20"/>
            </w:pPr>
            <w:r>
              <w:rPr>
                <w:rFonts w:ascii="Times New Roman" w:hAnsi="Times New Roman"/>
                <w:sz w:val="19"/>
              </w:rPr>
              <w:t>2020</w:t>
            </w:r>
          </w:p>
        </w:tc>
        <w:tc>
          <w:tcPr>
            <w:tcW w:type="dxa" w:w="5040"/>
            <w:vAlign w:val="center"/>
          </w:tcPr>
          <w:p>
            <w:pPr>
              <w:spacing w:after="20"/>
            </w:pPr>
            <w:r>
              <w:rPr>
                <w:rFonts w:ascii="Times New Roman" w:hAnsi="Times New Roman"/>
                <w:sz w:val="19"/>
              </w:rPr>
              <w:t>7</w:t>
            </w:r>
          </w:p>
        </w:tc>
      </w:tr>
      <w:tr>
        <w:tc>
          <w:tcPr>
            <w:tcW w:type="dxa" w:w="5040"/>
            <w:vAlign w:val="center"/>
          </w:tcPr>
          <w:p>
            <w:pPr>
              <w:spacing w:after="20"/>
            </w:pPr>
            <w:r>
              <w:rPr>
                <w:rFonts w:ascii="Times New Roman" w:hAnsi="Times New Roman"/>
                <w:sz w:val="19"/>
              </w:rPr>
              <w:t>2021</w:t>
            </w:r>
          </w:p>
        </w:tc>
        <w:tc>
          <w:tcPr>
            <w:tcW w:type="dxa" w:w="5040"/>
            <w:vAlign w:val="center"/>
          </w:tcPr>
          <w:p>
            <w:pPr>
              <w:spacing w:after="20"/>
            </w:pPr>
            <w:r>
              <w:rPr>
                <w:rFonts w:ascii="Times New Roman" w:hAnsi="Times New Roman"/>
                <w:sz w:val="19"/>
              </w:rPr>
              <w:t>5</w:t>
            </w:r>
          </w:p>
        </w:tc>
      </w:tr>
      <w:tr>
        <w:tc>
          <w:tcPr>
            <w:tcW w:type="dxa" w:w="5040"/>
            <w:vAlign w:val="center"/>
          </w:tcPr>
          <w:p>
            <w:pPr>
              <w:spacing w:after="20"/>
            </w:pPr>
            <w:r>
              <w:rPr>
                <w:rFonts w:ascii="Times New Roman" w:hAnsi="Times New Roman"/>
                <w:sz w:val="19"/>
              </w:rPr>
              <w:t>2022</w:t>
            </w:r>
          </w:p>
        </w:tc>
        <w:tc>
          <w:tcPr>
            <w:tcW w:type="dxa" w:w="5040"/>
            <w:vAlign w:val="center"/>
          </w:tcPr>
          <w:p>
            <w:pPr>
              <w:spacing w:after="20"/>
            </w:pPr>
            <w:r>
              <w:rPr>
                <w:rFonts w:ascii="Times New Roman" w:hAnsi="Times New Roman"/>
                <w:sz w:val="19"/>
              </w:rPr>
              <w:t>3</w:t>
            </w:r>
          </w:p>
        </w:tc>
      </w:tr>
    </w:tbl>
    <w:p>
      <w:r>
        <w:t>The highest number of employees joined in 2019 (8), followed by 2020 (7). Counts exclude records with missing or unparseable joining dates.</w:t>
      </w:r>
    </w:p>
    <w:p>
      <w:pPr>
        <w:pStyle w:val="Heading2"/>
      </w:pPr>
      <w:r>
        <w:t>3.5 Three Highest-Paid Employees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20"/>
            </w:pPr>
            <w:r>
              <w:rPr>
                <w:rFonts w:ascii="Times New Roman" w:hAnsi="Times New Roman"/>
                <w:b/>
                <w:sz w:val="19"/>
              </w:rPr>
              <w:t>Employee ID</w:t>
            </w:r>
          </w:p>
        </w:tc>
        <w:tc>
          <w:tcPr>
            <w:tcW w:type="dxa" w:w="2520"/>
            <w:vAlign w:val="center"/>
          </w:tcPr>
          <w:p>
            <w:pPr>
              <w:spacing w:after="20"/>
            </w:pPr>
            <w:r>
              <w:rPr>
                <w:rFonts w:ascii="Times New Roman" w:hAnsi="Times New Roman"/>
                <w:b/>
                <w:sz w:val="19"/>
              </w:rPr>
              <w:t>Name</w:t>
            </w:r>
          </w:p>
        </w:tc>
        <w:tc>
          <w:tcPr>
            <w:tcW w:type="dxa" w:w="2520"/>
            <w:vAlign w:val="center"/>
          </w:tcPr>
          <w:p>
            <w:pPr>
              <w:spacing w:after="20"/>
            </w:pPr>
            <w:r>
              <w:rPr>
                <w:rFonts w:ascii="Times New Roman" w:hAnsi="Times New Roman"/>
                <w:b/>
                <w:sz w:val="19"/>
              </w:rPr>
              <w:t>Department</w:t>
            </w:r>
          </w:p>
        </w:tc>
        <w:tc>
          <w:tcPr>
            <w:tcW w:type="dxa" w:w="2520"/>
            <w:vAlign w:val="center"/>
          </w:tcPr>
          <w:p>
            <w:pPr>
              <w:spacing w:after="20"/>
            </w:pPr>
            <w:r>
              <w:rPr>
                <w:rFonts w:ascii="Times New Roman" w:hAnsi="Times New Roman"/>
                <w:b/>
                <w:sz w:val="19"/>
              </w:rPr>
              <w:t>Salary (USD)</w:t>
            </w:r>
          </w:p>
        </w:tc>
      </w:tr>
      <w:tr>
        <w:tc>
          <w:tcPr>
            <w:tcW w:type="dxa" w:w="2520"/>
            <w:vAlign w:val="center"/>
          </w:tcPr>
          <w:p>
            <w:pPr>
              <w:spacing w:after="20"/>
            </w:pPr>
            <w:r>
              <w:rPr>
                <w:rFonts w:ascii="Times New Roman" w:hAnsi="Times New Roman"/>
                <w:sz w:val="19"/>
              </w:rPr>
              <w:t>126</w:t>
            </w:r>
          </w:p>
        </w:tc>
        <w:tc>
          <w:tcPr>
            <w:tcW w:type="dxa" w:w="2520"/>
            <w:vAlign w:val="center"/>
          </w:tcPr>
          <w:p>
            <w:pPr>
              <w:spacing w:after="20"/>
            </w:pPr>
            <w:r>
              <w:rPr>
                <w:rFonts w:ascii="Times New Roman" w:hAnsi="Times New Roman"/>
                <w:sz w:val="19"/>
              </w:rPr>
              <w:t>Joshua King</w:t>
            </w:r>
          </w:p>
        </w:tc>
        <w:tc>
          <w:tcPr>
            <w:tcW w:type="dxa" w:w="2520"/>
            <w:vAlign w:val="center"/>
          </w:tcPr>
          <w:p>
            <w:pPr>
              <w:spacing w:after="20"/>
            </w:pPr>
            <w:r>
              <w:rPr>
                <w:rFonts w:ascii="Times New Roman" w:hAnsi="Times New Roman"/>
                <w:sz w:val="19"/>
              </w:rPr>
              <w:t>IT</w:t>
            </w:r>
          </w:p>
        </w:tc>
        <w:tc>
          <w:tcPr>
            <w:tcW w:type="dxa" w:w="2520"/>
            <w:vAlign w:val="center"/>
          </w:tcPr>
          <w:p>
            <w:pPr>
              <w:spacing w:after="20"/>
            </w:pPr>
            <w:r>
              <w:rPr>
                <w:rFonts w:ascii="Times New Roman" w:hAnsi="Times New Roman"/>
                <w:sz w:val="19"/>
              </w:rPr>
              <w:t>$74,000</w:t>
            </w:r>
          </w:p>
        </w:tc>
      </w:tr>
      <w:tr>
        <w:tc>
          <w:tcPr>
            <w:tcW w:type="dxa" w:w="2520"/>
            <w:vAlign w:val="center"/>
          </w:tcPr>
          <w:p>
            <w:pPr>
              <w:spacing w:after="20"/>
            </w:pPr>
            <w:r>
              <w:rPr>
                <w:rFonts w:ascii="Times New Roman" w:hAnsi="Times New Roman"/>
                <w:sz w:val="19"/>
              </w:rPr>
              <w:t>109</w:t>
            </w:r>
          </w:p>
        </w:tc>
        <w:tc>
          <w:tcPr>
            <w:tcW w:type="dxa" w:w="2520"/>
            <w:vAlign w:val="center"/>
          </w:tcPr>
          <w:p>
            <w:pPr>
              <w:spacing w:after="20"/>
            </w:pPr>
            <w:r>
              <w:rPr>
                <w:rFonts w:ascii="Times New Roman" w:hAnsi="Times New Roman"/>
                <w:sz w:val="19"/>
              </w:rPr>
              <w:t>Linda Martinez</w:t>
            </w:r>
          </w:p>
        </w:tc>
        <w:tc>
          <w:tcPr>
            <w:tcW w:type="dxa" w:w="2520"/>
            <w:vAlign w:val="center"/>
          </w:tcPr>
          <w:p>
            <w:pPr>
              <w:spacing w:after="20"/>
            </w:pPr>
            <w:r>
              <w:rPr>
                <w:rFonts w:ascii="Times New Roman" w:hAnsi="Times New Roman"/>
                <w:sz w:val="19"/>
              </w:rPr>
              <w:t>IT</w:t>
            </w:r>
          </w:p>
        </w:tc>
        <w:tc>
          <w:tcPr>
            <w:tcW w:type="dxa" w:w="2520"/>
            <w:vAlign w:val="center"/>
          </w:tcPr>
          <w:p>
            <w:pPr>
              <w:spacing w:after="20"/>
            </w:pPr>
            <w:r>
              <w:rPr>
                <w:rFonts w:ascii="Times New Roman" w:hAnsi="Times New Roman"/>
                <w:sz w:val="19"/>
              </w:rPr>
              <w:t>$73,000</w:t>
            </w:r>
          </w:p>
        </w:tc>
      </w:tr>
      <w:tr>
        <w:tc>
          <w:tcPr>
            <w:tcW w:type="dxa" w:w="2520"/>
            <w:vAlign w:val="center"/>
          </w:tcPr>
          <w:p>
            <w:pPr>
              <w:spacing w:after="20"/>
            </w:pPr>
            <w:r>
              <w:rPr>
                <w:rFonts w:ascii="Times New Roman" w:hAnsi="Times New Roman"/>
                <w:sz w:val="19"/>
              </w:rPr>
              <w:t>116</w:t>
            </w:r>
          </w:p>
        </w:tc>
        <w:tc>
          <w:tcPr>
            <w:tcW w:type="dxa" w:w="2520"/>
            <w:vAlign w:val="center"/>
          </w:tcPr>
          <w:p>
            <w:pPr>
              <w:spacing w:after="20"/>
            </w:pPr>
            <w:r>
              <w:rPr>
                <w:rFonts w:ascii="Times New Roman" w:hAnsi="Times New Roman"/>
                <w:sz w:val="19"/>
              </w:rPr>
              <w:t>Paul Martin</w:t>
            </w:r>
          </w:p>
        </w:tc>
        <w:tc>
          <w:tcPr>
            <w:tcW w:type="dxa" w:w="2520"/>
            <w:vAlign w:val="center"/>
          </w:tcPr>
          <w:p>
            <w:pPr>
              <w:spacing w:after="20"/>
            </w:pPr>
            <w:r>
              <w:rPr>
                <w:rFonts w:ascii="Times New Roman" w:hAnsi="Times New Roman"/>
                <w:sz w:val="19"/>
              </w:rPr>
              <w:t>IT</w:t>
            </w:r>
          </w:p>
        </w:tc>
        <w:tc>
          <w:tcPr>
            <w:tcW w:type="dxa" w:w="2520"/>
            <w:vAlign w:val="center"/>
          </w:tcPr>
          <w:p>
            <w:pPr>
              <w:spacing w:after="20"/>
            </w:pPr>
            <w:r>
              <w:rPr>
                <w:rFonts w:ascii="Times New Roman" w:hAnsi="Times New Roman"/>
                <w:sz w:val="19"/>
              </w:rPr>
              <w:t>$72,000</w:t>
            </w:r>
          </w:p>
        </w:tc>
      </w:tr>
    </w:tbl>
    <w:p>
      <w:r>
        <w:t>The three highest-paid employees shown in the analysis were Joshua King ($74,000), Linda Martinez ($73,000), and Paul Martin ($72,000), all from IT. The ranking should be based on valid original salary values rather than imputed salaries.</w:t>
      </w:r>
    </w:p>
    <w:p>
      <w:pPr>
        <w:pStyle w:val="Heading1"/>
      </w:pPr>
      <w:r>
        <w:t>4. Conclusion</w:t>
      </w:r>
    </w:p>
    <w:p>
      <w:r>
        <w:t>The cleaning process improved the consistency and usability of the employee dataset. The analysis showed that IT had the highest average salary and average performance score, 2019 had the most recorded new hires, and the age-performance correlation was moderately positive. One malformed email remained flagged for review. Findings should be interpreted in light of the dataset size and the decisions made when handling missing and implausible values.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