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B2545"/>
          <w:sz w:val="32"/>
        </w:rPr>
        <w:t>XDrift: A Clean, Reproducible Research Protocol</w:t>
      </w:r>
    </w:p>
    <w:p>
      <w:pPr>
        <w:spacing w:before="0" w:after="200"/>
        <w:jc w:val="center"/>
      </w:pPr>
      <w:r>
        <w:rPr>
          <w:rFonts w:ascii="Times New Roman" w:hAnsi="Times New Roman"/>
          <w:i/>
          <w:color w:val="134074"/>
          <w:sz w:val="23"/>
        </w:rPr>
        <w:t>Investigating Quantization-Induced Model Drift and Attribution Drift in Encrypted-Traffic Classification</w:t>
      </w:r>
    </w:p>
    <w:p>
      <w:pPr>
        <w:spacing w:before="0" w:after="240"/>
        <w:jc w:val="center"/>
      </w:pPr>
      <w:r>
        <w:rPr>
          <w:rFonts w:ascii="Times New Roman" w:hAnsi="Times New Roman"/>
          <w:b/>
          <w:sz w:val="22"/>
        </w:rPr>
        <w:t>Nur Nafis Fuad</w:t>
        <w:br/>
      </w:r>
      <w:r>
        <w:rPr>
          <w:rFonts w:ascii="Times New Roman" w:hAnsi="Times New Roman"/>
          <w:color w:val="4A5568"/>
          <w:sz w:val="19"/>
        </w:rPr>
        <w:t>Department of Electrical and Computer Engineering</w:t>
        <w:br/>
        <w:t>Rajshahi University of Engineering &amp; Technology (RUET), Bangladesh</w:t>
      </w:r>
    </w:p>
    <w:p>
      <w:pPr>
        <w:spacing w:before="160" w:after="160" w:line="276" w:lineRule="auto"/>
        <w:ind w:left="432" w:right="288"/>
        <w:pBdr>
          <w:left w:val="single" w:sz="24" w:space="12" w:color="0B2545"/>
        </w:pBdr>
        <w:shd w:fill="F8FAFC"/>
      </w:pPr>
      <w:r>
        <w:rPr>
          <w:rFonts w:ascii="Times New Roman" w:hAnsi="Times New Roman"/>
          <w:b/>
          <w:color w:val="0B2545"/>
          <w:sz w:val="20"/>
        </w:rPr>
        <w:t>Foundational Plain-Language Principles: What is Drift and Why Does It Matter?</w:t>
        <w:br/>
      </w:r>
      <w:r>
        <w:rPr>
          <w:rFonts w:ascii="Times New Roman" w:hAnsi="Times New Roman"/>
          <w:i/>
          <w:color w:val="2D3748"/>
          <w:sz w:val="19"/>
        </w:rPr>
        <w:t>1. Is there drift in quantization? Yes, but it must be measured empirically. When a 32-bit floating-point neural network (FP32) is compressed into 8-bit integers (INT8) to run on low-power edge routers, rounding perturbations occur. This creates two distinct phenomena: (a) Model/Predictive Drift: The output probabilities shift, potentially flipping classifications near decision thresholds; and (b) Attribution Drift: The model's internal reasoning shifts. Even when FP32 and INT8 both predict 'VPN', they may fixate on entirely different packet features.</w:t>
        <w:br/>
        <w:t>2. Real-World Impact: Edge firewalls feed alert telemetry to Security Operations Center (SOC) analysts and automated SOAR playbooks to synthesize dynamic blocking rules. If attribution drift causes the INT8 model to explain its decision using arbitrary payload byte lengths rather than stable handshake characteristics, the synthesized firewall rules become brittle and easily bypassed via packet padding. In regulated environments (EU AI Act, GDPR), deploying an INT8 model whose explanations diverge from the certified FP32 baseline creates severe compliance and auditing liabilities.</w:t>
      </w:r>
    </w:p>
    <w:p>
      <w:pPr>
        <w:keepNext/>
        <w:spacing w:before="280" w:after="80"/>
      </w:pPr>
      <w:r>
        <w:rPr>
          <w:rFonts w:ascii="Times New Roman" w:hAnsi="Times New Roman"/>
          <w:b/>
          <w:color w:val="0B2545"/>
          <w:sz w:val="26"/>
        </w:rPr>
        <w:t>1. QUANTITATIVE METHODOLOGY</w:t>
      </w:r>
    </w:p>
    <w:p>
      <w:pPr>
        <w:keepNext/>
        <w:spacing w:before="200" w:after="60"/>
      </w:pPr>
      <w:r>
        <w:rPr>
          <w:rFonts w:ascii="Times New Roman" w:hAnsi="Times New Roman"/>
          <w:b/>
          <w:color w:val="134074"/>
          <w:sz w:val="22"/>
        </w:rPr>
        <w:t>1.1 Research Questions, Hypotheses &amp; Primary Estimands</w:t>
      </w:r>
    </w:p>
    <w:p>
      <w:pPr>
        <w:spacing w:before="0" w:after="100" w:line="276" w:lineRule="auto"/>
        <w:jc w:val="both"/>
      </w:pPr>
      <w:r>
        <w:rPr>
          <w:rFonts w:ascii="Times New Roman" w:hAnsi="Times New Roman"/>
          <w:color w:val="222222"/>
          <w:sz w:val="20"/>
        </w:rPr>
        <w:t>Primary Research Question: When a trained FP32 1D-CNN for encrypted network traffic classification is converted to INT8 fixed-point execution, how much does its predictive behaviour change (predictive drift), and how much do its feature attributions change (attribution drift)?</w:t>
      </w:r>
    </w:p>
    <w:p>
      <w:pPr>
        <w:spacing w:before="0" w:after="100" w:line="276" w:lineRule="auto"/>
        <w:jc w:val="both"/>
      </w:pPr>
      <w:r>
        <w:rPr>
          <w:rFonts w:ascii="Times New Roman" w:hAnsi="Times New Roman"/>
          <w:color w:val="222222"/>
          <w:sz w:val="20"/>
        </w:rPr>
        <w:t>• Hypothesis 1 (Predictive Fidelity): INT8 quantization introduces numerical rounding that may alter prediction logits and probabilities. The direction, magnitude, and statistical significance of predictive metric changes (|Delta Acc|, |Delta F1|, prediction-flip rate) will be measured blindly rather than assumed.</w:t>
        <w:br/>
        <w:t>• Hypothesis 2 (Attribution Fidelity): When querying FP32 and INT8 models with the identical model-agnostic explainer on identical test flows, feature attributions will diverge in feature overlap, rank monotonicity, and mass distribution.</w:t>
        <w:br/>
        <w:t>• Hypothesis 3 (PTQ vs. QAT): Quantization-Aware Training (QAT) may recover predictive accuracy, but whether it mitigates attribution drift relative to Post-Training Quantization (PTQ) remains an empirical question to be tested.</w:t>
        <w:br/>
        <w:t>• Hypothesis 4 (Confounder Heterogeneity): Attribution drift is hypothesized to vary systematically with active sequence length, protocol class, and capture environment. These factors are modeled explicitly as covariates rather than assumed mechanisms.</w:t>
      </w:r>
    </w:p>
    <w:p>
      <w:pPr>
        <w:keepNext/>
        <w:spacing w:before="200" w:after="60"/>
      </w:pPr>
      <w:r>
        <w:rPr>
          <w:rFonts w:ascii="Times New Roman" w:hAnsi="Times New Roman"/>
          <w:b/>
          <w:color w:val="134074"/>
          <w:sz w:val="22"/>
        </w:rPr>
        <w:t>1.2 Dataset Provenance, Audit Manifest &amp; Flow Reconstruction</w:t>
      </w:r>
    </w:p>
    <w:p>
      <w:pPr>
        <w:spacing w:before="0" w:after="100" w:line="276" w:lineRule="auto"/>
        <w:jc w:val="both"/>
      </w:pPr>
      <w:r>
        <w:rPr>
          <w:rFonts w:ascii="Times New Roman" w:hAnsi="Times New Roman"/>
          <w:color w:val="222222"/>
          <w:sz w:val="20"/>
        </w:rPr>
        <w:t>Empirical Benchmark Corpus: Experiments utilize the benchmark ISCX VPN-NonVPN 2016 dataset. Prior to processing, a formal Dataset Manifest records each raw PCAP/PCAPNG file, file size in bytes, SHA-256 cryptographic checksum, and capture-level application/VPN metadata. Corrupted, truncated, or unreadable packets are logged and discarded with full accounting.</w:t>
      </w:r>
    </w:p>
    <w:p>
      <w:pPr>
        <w:spacing w:before="0" w:after="100" w:line="276" w:lineRule="auto"/>
        <w:jc w:val="both"/>
      </w:pPr>
      <w:r>
        <w:rPr>
          <w:rFonts w:ascii="Times New Roman" w:hAnsi="Times New Roman"/>
          <w:color w:val="222222"/>
          <w:sz w:val="20"/>
        </w:rPr>
        <w:t>Canonical Lexicographical Flow Reconstruction: Continuous packet streams are parsed asynchronously using Python's dpkt engine. Bidirectional flows are constructed using canonical endpoint-pair comparisons: each endpoint is a paired tuple E = (IP, Port). To prevent port dissociation, complete endpoint tuples are compared lexicographically:</w:t>
      </w:r>
    </w:p>
    <w:p>
      <w:pPr>
        <w:tabs>
          <w:tab w:pos="9360" w:val="right"/>
        </w:tabs>
        <w:spacing w:before="80" w:after="100" w:line="276" w:lineRule="auto"/>
        <w:ind w:left="576"/>
      </w:pPr>
      <m:oMath>
        <m:r>
          <m:t>FlowKey = </m:t>
        </m:r>
        <m:d>
          <m:dPr>
            <m:begChr m:val="("/>
            <m:endChr m:val=")"/>
          </m:dPr>
          <m:e>
            <m:sSub>
              <m:e>
                <m:r>
                  <m:t>min</m:t>
                </m:r>
              </m:e>
              <m:sub>
                <m:r>
                  <m:t>lex</m:t>
                </m:r>
              </m:sub>
            </m:sSub>
            <m:d>
              <m:dPr>
                <m:begChr m:val="("/>
                <m:endChr m:val=")"/>
              </m:dPr>
              <m:e>
                <m:sSub>
                  <m:e>
                    <m:r>
                      <m:t>E</m:t>
                    </m:r>
                  </m:e>
                  <m:sub>
                    <m:r>
                      <m:t>1</m:t>
                    </m:r>
                  </m:sub>
                </m:sSub>
                <m:r>
                  <m:t>, </m:t>
                </m:r>
                <m:sSub>
                  <m:e>
                    <m:r>
                      <m:t>E</m:t>
                    </m:r>
                  </m:e>
                  <m:sub>
                    <m:r>
                      <m:t>2</m:t>
                    </m:r>
                  </m:sub>
                </m:sSub>
              </m:e>
            </m:d>
            <m:r>
              <m:t>, </m:t>
            </m:r>
            <m:sSub>
              <m:e>
                <m:r>
                  <m:t>max</m:t>
                </m:r>
              </m:e>
              <m:sub>
                <m:r>
                  <m:t>lex</m:t>
                </m:r>
              </m:sub>
            </m:sSub>
            <m:d>
              <m:dPr>
                <m:begChr m:val="("/>
                <m:endChr m:val=")"/>
              </m:dPr>
              <m:e>
                <m:sSub>
                  <m:e>
                    <m:r>
                      <m:t>E</m:t>
                    </m:r>
                  </m:e>
                  <m:sub>
                    <m:r>
                      <m:t>1</m:t>
                    </m:r>
                  </m:sub>
                </m:sSub>
                <m:r>
                  <m:t>, </m:t>
                </m:r>
                <m:sSub>
                  <m:e>
                    <m:r>
                      <m:t>E</m:t>
                    </m:r>
                  </m:e>
                  <m:sub>
                    <m:r>
                      <m:t>2</m:t>
                    </m:r>
                  </m:sub>
                </m:sSub>
              </m:e>
            </m:d>
            <m:r>
              <m:t>,  Protocol</m:t>
            </m:r>
          </m:e>
        </m:d>
      </m:oMath>
      <w:r>
        <w:rPr>
          <w:rFonts w:ascii="Times New Roman" w:hAnsi="Times New Roman"/>
          <w:b/>
          <w:color w:val="4A5568"/>
          <w:sz w:val="20"/>
        </w:rPr>
        <w:tab/>
        <w:t>(1)</w:t>
      </w:r>
    </w:p>
    <w:p>
      <w:pPr>
        <w:spacing w:before="0" w:after="100" w:line="276" w:lineRule="auto"/>
        <w:jc w:val="both"/>
      </w:pPr>
      <w:r>
        <w:rPr>
          <w:rFonts w:ascii="Times New Roman" w:hAnsi="Times New Roman"/>
          <w:color w:val="222222"/>
          <w:sz w:val="20"/>
        </w:rPr>
        <w:t>where if (IP_src, P_src) &lt; (IP_dst, P_dst), the forward direction is assigned d_t = +1; otherwise d_t = -1. TCP and UDP packets are parsed symmetrically, segmented by an inactivity timeout Delta_t_inactive = 120 seconds. Packets lacking valid transport headers are excluded.</w:t>
      </w:r>
    </w:p>
    <w:p>
      <w:pPr>
        <w:keepNext/>
        <w:spacing w:before="200" w:after="60"/>
      </w:pPr>
      <w:r>
        <w:rPr>
          <w:rFonts w:ascii="Times New Roman" w:hAnsi="Times New Roman"/>
          <w:b/>
          <w:color w:val="134074"/>
          <w:sz w:val="22"/>
        </w:rPr>
        <w:t>1.3 Behavioral Feature Engineering &amp; Tensor Formulation (Frozen Rules)</w:t>
      </w:r>
    </w:p>
    <w:p>
      <w:pPr>
        <w:spacing w:before="0" w:after="100" w:line="276" w:lineRule="auto"/>
        <w:jc w:val="both"/>
      </w:pPr>
      <w:r>
        <w:rPr>
          <w:rFonts w:ascii="Times New Roman" w:hAnsi="Times New Roman"/>
          <w:color w:val="222222"/>
          <w:sz w:val="20"/>
        </w:rPr>
        <w:t>Each flow is transformed into a standardized numerical tensor X in R^{2 x 64}, representing the first N = 64 valid packets:</w:t>
      </w:r>
    </w:p>
    <w:p>
      <w:pPr>
        <w:spacing w:before="0" w:after="100" w:line="276" w:lineRule="auto"/>
        <w:jc w:val="both"/>
      </w:pPr>
      <w:r>
        <w:rPr>
          <w:rFonts w:ascii="Times New Roman" w:hAnsi="Times New Roman"/>
          <w:color w:val="222222"/>
          <w:sz w:val="20"/>
        </w:rPr>
        <w:t>1. Channel 0: Normalized Directional IP Packet Length (X_{0, t}): Extracted from the IP header length field (P_t in bytes, excluding Ethernet framing), signed by transmission directionality d_t in {-1, +1}, normalized by MTU = 1500 bytes, and clipped to [-1.0, 1.0]:</w:t>
      </w:r>
    </w:p>
    <w:p>
      <w:pPr>
        <w:tabs>
          <w:tab w:pos="9360" w:val="right"/>
        </w:tabs>
        <w:spacing w:before="80" w:after="100" w:line="276" w:lineRule="auto"/>
        <w:ind w:left="576"/>
      </w:pPr>
      <m:oMath>
        <m:sSub>
          <m:e>
            <m:r>
              <m:t>X</m:t>
            </m:r>
          </m:e>
          <m:sub>
            <m:r>
              <m:t>0, t</m:t>
            </m:r>
          </m:sub>
        </m:sSub>
        <m:r>
          <m:t> = </m:t>
        </m:r>
        <m:sSub>
          <m:e>
            <m:r>
              <m:t>d</m:t>
            </m:r>
          </m:e>
          <m:sub>
            <m:r>
              <m:t>t</m:t>
            </m:r>
          </m:sub>
        </m:sSub>
        <m:r>
          <m:t> · </m:t>
        </m:r>
        <m:f>
          <m:num>
            <m:r>
              <m:t>min</m:t>
            </m:r>
            <m:d>
              <m:dPr>
                <m:begChr m:val="("/>
                <m:endChr m:val=")"/>
              </m:dPr>
              <m:e>
                <m:sSub>
                  <m:e>
                    <m:r>
                      <m:t>P</m:t>
                    </m:r>
                  </m:e>
                  <m:sub>
                    <m:r>
                      <m:t>t</m:t>
                    </m:r>
                  </m:sub>
                </m:sSub>
                <m:r>
                  <m:t>,  1500</m:t>
                </m:r>
              </m:e>
            </m:d>
          </m:num>
          <m:den>
            <m:r>
              <m:t>1500</m:t>
            </m:r>
          </m:den>
        </m:f>
        <m:r>
          <m:t>,    </m:t>
        </m:r>
        <m:sSub>
          <m:e>
            <m:r>
              <m:t>d</m:t>
            </m:r>
          </m:e>
          <m:sub>
            <m:r>
              <m:t>t</m:t>
            </m:r>
          </m:sub>
        </m:sSub>
        <m:r>
          <m:t> ∈ {-1,  +1}</m:t>
        </m:r>
      </m:oMath>
      <w:r>
        <w:rPr>
          <w:rFonts w:ascii="Times New Roman" w:hAnsi="Times New Roman"/>
          <w:b/>
          <w:color w:val="4A5568"/>
          <w:sz w:val="20"/>
        </w:rPr>
        <w:tab/>
        <w:t>(2)</w:t>
      </w:r>
    </w:p>
    <w:p>
      <w:pPr>
        <w:spacing w:before="0" w:after="100" w:line="276" w:lineRule="auto"/>
        <w:jc w:val="both"/>
      </w:pPr>
      <w:r>
        <w:rPr>
          <w:rFonts w:ascii="Times New Roman" w:hAnsi="Times New Roman"/>
          <w:color w:val="222222"/>
          <w:sz w:val="20"/>
        </w:rPr>
        <w:t>2. Channel 1: Normalized Log Inter-Arrival Time (X_{1, t}): Encodes the arrival interval Delta_T_t = t_t - t_{t-1} in seconds between consecutive packets. Intervals are clamped to 5.0 seconds and normalized to [0.0, 1.0] using natural log scaling with Delta_T_0 ≡ 0.0 seconds:</w:t>
      </w:r>
    </w:p>
    <w:p>
      <w:pPr>
        <w:tabs>
          <w:tab w:pos="9360" w:val="right"/>
        </w:tabs>
        <w:spacing w:before="80" w:after="100" w:line="276" w:lineRule="auto"/>
        <w:ind w:left="576"/>
      </w:pPr>
      <m:oMath>
        <m:sSub>
          <m:e>
            <m:r>
              <m:t>X</m:t>
            </m:r>
          </m:e>
          <m:sub>
            <m:r>
              <m:t>1, t</m:t>
            </m:r>
          </m:sub>
        </m:sSub>
        <m:r>
          <m:t> = </m:t>
        </m:r>
        <m:f>
          <m:num>
            <m:r>
              <m:t>ln</m:t>
            </m:r>
            <m:d>
              <m:dPr>
                <m:begChr m:val="("/>
                <m:endChr m:val=")"/>
              </m:dPr>
              <m:e>
                <m:r>
                  <m:t>1 + min</m:t>
                </m:r>
                <m:d>
                  <m:dPr>
                    <m:begChr m:val="("/>
                    <m:endChr m:val=")"/>
                  </m:dPr>
                  <m:e>
                    <m:sSub>
                      <m:e>
                        <m:r>
                          <m:t>ΔT</m:t>
                        </m:r>
                      </m:e>
                      <m:sub>
                        <m:r>
                          <m:t>t</m:t>
                        </m:r>
                      </m:sub>
                    </m:sSub>
                    <m:r>
                      <m:t>,  5.0</m:t>
                    </m:r>
                  </m:e>
                </m:d>
              </m:e>
            </m:d>
          </m:num>
          <m:den>
            <m:r>
              <m:t>ln(6.0)</m:t>
            </m:r>
          </m:den>
        </m:f>
        <m:r>
          <m:t>,    </m:t>
        </m:r>
        <m:sSub>
          <m:e>
            <m:r>
              <m:t>ΔT</m:t>
            </m:r>
          </m:e>
          <m:sub>
            <m:r>
              <m:t>0</m:t>
            </m:r>
          </m:sub>
        </m:sSub>
        <m:r>
          <m:t> ≡ 0.0 s</m:t>
        </m:r>
      </m:oMath>
      <w:r>
        <w:rPr>
          <w:rFonts w:ascii="Times New Roman" w:hAnsi="Times New Roman"/>
          <w:b/>
          <w:color w:val="4A5568"/>
          <w:sz w:val="20"/>
        </w:rPr>
        <w:tab/>
        <w:t>(3)</w:t>
      </w:r>
    </w:p>
    <w:p>
      <w:pPr>
        <w:spacing w:before="0" w:after="100" w:line="276" w:lineRule="auto"/>
        <w:jc w:val="both"/>
      </w:pPr>
      <w:r>
        <w:rPr>
          <w:rFonts w:ascii="Times New Roman" w:hAnsi="Times New Roman"/>
          <w:color w:val="222222"/>
          <w:sz w:val="20"/>
        </w:rPr>
        <w:t>Implementation Note on Log Base: In codebases utilizing base-10 logarithms without denominator normalization (X_{1, t} = log10(1 + clip(Delta_T_t, 0, 5.0))), the resulting dynamic range is strictly [0.0, log10(6.0)] ≈ [0.0, 0.7781]. Whichever scaling is frozen must be validated via unit tests before training.</w:t>
      </w:r>
    </w:p>
    <w:p>
      <w:pPr>
        <w:spacing w:before="0" w:after="100" w:line="276" w:lineRule="auto"/>
        <w:jc w:val="both"/>
      </w:pPr>
      <w:r>
        <w:rPr>
          <w:rFonts w:ascii="Times New Roman" w:hAnsi="Times New Roman"/>
          <w:color w:val="222222"/>
          <w:sz w:val="20"/>
        </w:rPr>
        <w:t>3. Zero-Padding &amp; Observational Validity Masking: Flows terminating prior to 64 packets (sequence length L &lt; 64) are right-padded with zeros. An observational mask M in {0, 1}^64 records valid temporal slots:</w:t>
      </w:r>
    </w:p>
    <w:p>
      <w:pPr>
        <w:tabs>
          <w:tab w:pos="9360" w:val="right"/>
        </w:tabs>
        <w:spacing w:before="80" w:after="100" w:line="276" w:lineRule="auto"/>
        <w:ind w:left="576"/>
      </w:pPr>
      <m:oMath>
        <m:sSub>
          <m:e>
            <m:r>
              <m:t>M</m:t>
            </m:r>
          </m:e>
          <m:sub>
            <m:r>
              <m:t>t</m:t>
            </m:r>
          </m:sub>
        </m:sSub>
        <m:r>
          <m:t> = </m:t>
        </m:r>
        <m:d>
          <m:dPr>
            <m:begChr m:val="{"/>
            <m:endChr m:val=""/>
          </m:dPr>
          <m:e>
            <m:eqArr>
              <m:e>
                <m:r>
                  <m:t>1,    if  t &lt; L  (observed packet slot)</m:t>
                </m:r>
              </m:e>
              <m:e>
                <m:r>
                  <m:t>0,    if  t ≥ L  (zero-padded slot)</m:t>
                </m:r>
              </m:e>
            </m:eqArr>
          </m:e>
        </m:d>
      </m:oMath>
      <w:r>
        <w:rPr>
          <w:rFonts w:ascii="Times New Roman" w:hAnsi="Times New Roman"/>
          <w:b/>
          <w:color w:val="4A5568"/>
          <w:sz w:val="20"/>
        </w:rPr>
        <w:tab/>
        <w:t>(4)</w:t>
      </w:r>
    </w:p>
    <w:p>
      <w:pPr>
        <w:spacing w:before="0" w:after="100" w:line="276" w:lineRule="auto"/>
        <w:jc w:val="both"/>
      </w:pPr>
      <w:r>
        <w:rPr>
          <w:rFonts w:ascii="Times New Roman" w:hAnsi="Times New Roman"/>
          <w:color w:val="222222"/>
          <w:sz w:val="20"/>
        </w:rPr>
        <w:t>Masking Semantics: Zero-padding is an observational reporting convention. Because CNN receptive fields propagate signals across zero-valued slots, masking is applied during explanation reporting to prevent evaluating unobserved temporal dimensions.</w:t>
      </w:r>
    </w:p>
    <w:p>
      <w:pPr>
        <w:keepNext/>
        <w:spacing w:before="200" w:after="60"/>
      </w:pPr>
      <w:r>
        <w:rPr>
          <w:rFonts w:ascii="Times New Roman" w:hAnsi="Times New Roman"/>
          <w:b/>
          <w:color w:val="134074"/>
          <w:sz w:val="22"/>
        </w:rPr>
        <w:t>1.4 Group-Aware Partitioning &amp; Imbalance-Weighted Optimization</w:t>
      </w:r>
    </w:p>
    <w:p>
      <w:pPr>
        <w:spacing w:before="0" w:after="100" w:line="276" w:lineRule="auto"/>
        <w:jc w:val="both"/>
      </w:pPr>
      <w:r>
        <w:rPr>
          <w:rFonts w:ascii="Times New Roman" w:hAnsi="Times New Roman"/>
          <w:color w:val="222222"/>
          <w:sz w:val="20"/>
        </w:rPr>
        <w:t>Leakage Prevention Protocol: To eliminate session leakage and cross-flow dependencies, data partitioning is performed strictly at the raw PCAP capture level (GroupKFold / GroupStratifiedSplit). No flows from the same capture file may span the training, validation, and test boundaries. Partition splits target 70% training, 15% validation, and 15% testing, with frozen split hashes.</w:t>
      </w:r>
    </w:p>
    <w:p>
      <w:pPr>
        <w:spacing w:before="0" w:after="100" w:line="276" w:lineRule="auto"/>
        <w:jc w:val="both"/>
      </w:pPr>
      <w:r>
        <w:rPr>
          <w:rFonts w:ascii="Times New Roman" w:hAnsi="Times New Roman"/>
          <w:color w:val="222222"/>
          <w:sz w:val="20"/>
        </w:rPr>
        <w:t>Natural Test Split vs. Balanced Test Cohort: Predictive performance is evaluated on the untouched natural-distribution test set. For explainability comparisons, a secondary 1:1 balanced test cohort (equal VPN and Non-VPN flows) is sampled using a fixed random seed to ensure equal statistical power across classes.</w:t>
      </w:r>
    </w:p>
    <w:p>
      <w:pPr>
        <w:spacing w:before="0" w:after="100" w:line="276" w:lineRule="auto"/>
        <w:jc w:val="both"/>
      </w:pPr>
      <w:r>
        <w:rPr>
          <w:rFonts w:ascii="Times New Roman" w:hAnsi="Times New Roman"/>
          <w:color w:val="222222"/>
          <w:sz w:val="20"/>
        </w:rPr>
        <w:t>Positive-Class-Weighted Binary Cross-Entropy: To counteract class imbalance, training optimizes weighted cross-entropy:</w:t>
      </w:r>
    </w:p>
    <w:p>
      <w:pPr>
        <w:tabs>
          <w:tab w:pos="9360" w:val="right"/>
        </w:tabs>
        <w:spacing w:before="80" w:after="100" w:line="276" w:lineRule="auto"/>
        <w:ind w:left="576"/>
      </w:pPr>
      <m:oMath>
        <m:sSub>
          <m:e>
            <m:r>
              <m:t>ℒ</m:t>
            </m:r>
          </m:e>
          <m:sub>
            <m:r>
              <m:t>wBCE</m:t>
            </m:r>
          </m:sub>
        </m:sSub>
        <m:d>
          <m:dPr>
            <m:begChr m:val="("/>
            <m:endChr m:val=")"/>
          </m:dPr>
          <m:e>
            <m:r>
              <m:t>z, y</m:t>
            </m:r>
          </m:e>
        </m:d>
        <m:r>
          <m:t> = - </m:t>
        </m:r>
        <m:d>
          <m:dPr>
            <m:begChr m:val="["/>
            <m:endChr m:val="]"/>
          </m:dPr>
          <m:e>
            <m:r>
              <m:t>w · y · ln σ</m:t>
            </m:r>
            <m:d>
              <m:dPr>
                <m:begChr m:val="("/>
                <m:endChr m:val=")"/>
              </m:dPr>
              <m:e>
                <m:r>
                  <m:t>z</m:t>
                </m:r>
              </m:e>
            </m:d>
            <m:r>
              <m:t> + (1 - y) · ln</m:t>
            </m:r>
            <m:d>
              <m:dPr>
                <m:begChr m:val="("/>
                <m:endChr m:val=")"/>
              </m:dPr>
              <m:e>
                <m:r>
                  <m:t>1 - σ(z)</m:t>
                </m:r>
              </m:e>
            </m:d>
          </m:e>
        </m:d>
      </m:oMath>
      <w:r>
        <w:rPr>
          <w:rFonts w:ascii="Times New Roman" w:hAnsi="Times New Roman"/>
          <w:b/>
          <w:color w:val="4A5568"/>
          <w:sz w:val="20"/>
        </w:rPr>
        <w:tab/>
        <w:t>(5)</w:t>
      </w:r>
    </w:p>
    <w:p>
      <w:pPr>
        <w:spacing w:before="0" w:after="100" w:line="276" w:lineRule="auto"/>
        <w:jc w:val="both"/>
      </w:pPr>
      <w:r>
        <w:rPr>
          <w:rFonts w:ascii="Times New Roman" w:hAnsi="Times New Roman"/>
          <w:color w:val="222222"/>
          <w:sz w:val="20"/>
        </w:rPr>
        <w:t>where the loss weight w = N_{train, Non-VPN} / N_{train, VPN} is parameterized strictly from training data. The operational decision threshold tau* is selected on validation data to maximize Macro F1 (tau* = argmax_{tau} F1(tau; D_val)) and frozen prior to test evaluation.</w:t>
      </w:r>
    </w:p>
    <w:p>
      <w:pPr>
        <w:spacing w:before="0" w:after="100" w:line="276" w:lineRule="auto"/>
        <w:jc w:val="both"/>
      </w:pPr>
      <w:r>
        <w:rPr>
          <w:rFonts w:ascii="Times New Roman" w:hAnsi="Times New Roman"/>
          <w:color w:val="222222"/>
          <w:sz w:val="20"/>
        </w:rPr>
        <w:t>Compact Edge 1D-CNN Architecture (Traffic1DCNN): The network comprises 44,129 trainable parameters: Block 1 (Conv1d 2-&gt;32, k=5, BN, ReLU, MaxPool: 416 params), Block 2 (Conv1d 32-&gt;64, k=5, BN, ReLU, MaxPool: 10,432 params), Block 3 (Conv1d 64-&gt;128, k=3, BN, ReLU, AdaptiveAvgPool: 24,960 params), and Classifier Head (Linear 128-&gt;64, Dropout 0.3, Linear 64-&gt;1: 8,321 params). Under 32-bit float storage, weights occupy 173.568 KB (43,392 weights), yielding an exact 4.00:1 theoretical weight compression ratio against INT8.</w:t>
      </w:r>
    </w:p>
    <w:p>
      <w:pPr>
        <w:spacing w:before="0" w:after="100" w:line="276" w:lineRule="auto"/>
        <w:jc w:val="both"/>
      </w:pPr>
      <w:r>
        <w:rPr>
          <w:rFonts w:ascii="Times New Roman" w:hAnsi="Times New Roman"/>
          <w:color w:val="222222"/>
          <w:sz w:val="20"/>
        </w:rPr>
        <w:t>Optimization Schedule: Training runs for a prespecified epoch budget with AdamW (lr = 1e-3, weight_decay = 1e-4) decaying via Cosine Annealing:</w:t>
      </w:r>
    </w:p>
    <w:p>
      <w:pPr>
        <w:tabs>
          <w:tab w:pos="9360" w:val="right"/>
        </w:tabs>
        <w:spacing w:before="80" w:after="100" w:line="276" w:lineRule="auto"/>
        <w:ind w:left="576"/>
      </w:pPr>
      <m:oMath>
        <m:sSub>
          <m:e>
            <m:r>
              <m:t>η</m:t>
            </m:r>
          </m:e>
          <m:sub>
            <m:r>
              <m:t>t</m:t>
            </m:r>
          </m:sub>
        </m:sSub>
        <m:r>
          <m:t> = </m:t>
        </m:r>
        <m:sSub>
          <m:e>
            <m:r>
              <m:t>η</m:t>
            </m:r>
          </m:e>
          <m:sub>
            <m:r>
              <m:t>min</m:t>
            </m:r>
          </m:sub>
        </m:sSub>
        <m:r>
          <m:t> + </m:t>
        </m:r>
        <m:f>
          <m:num>
            <m:r>
              <m:t>1</m:t>
            </m:r>
          </m:num>
          <m:den>
            <m:r>
              <m:t>2</m:t>
            </m:r>
          </m:den>
        </m:f>
        <m:d>
          <m:dPr>
            <m:begChr m:val="("/>
            <m:endChr m:val=")"/>
          </m:dPr>
          <m:e>
            <m:sSub>
              <m:e>
                <m:r>
                  <m:t>η</m:t>
                </m:r>
              </m:e>
              <m:sub>
                <m:r>
                  <m:t>max</m:t>
                </m:r>
              </m:sub>
            </m:sSub>
            <m:r>
              <m:t> - </m:t>
            </m:r>
            <m:sSub>
              <m:e>
                <m:r>
                  <m:t>η</m:t>
                </m:r>
              </m:e>
              <m:sub>
                <m:r>
                  <m:t>min</m:t>
                </m:r>
              </m:sub>
            </m:sSub>
          </m:e>
        </m:d>
        <m:d>
          <m:dPr>
            <m:begChr m:val="("/>
            <m:endChr m:val=")"/>
          </m:dPr>
          <m:e>
            <m:r>
              <m:t>1 + cos</m:t>
            </m:r>
            <m:d>
              <m:dPr>
                <m:begChr m:val="("/>
                <m:endChr m:val=")"/>
              </m:dPr>
              <m:e>
                <m:f>
                  <m:num>
                    <m:r>
                      <m:t>t</m:t>
                    </m:r>
                  </m:num>
                  <m:den>
                    <m:sSub>
                      <m:e>
                        <m:r>
                          <m:t>T</m:t>
                        </m:r>
                      </m:e>
                      <m:sub>
                        <m:r>
                          <m:t>max</m:t>
                        </m:r>
                      </m:sub>
                    </m:sSub>
                  </m:den>
                </m:f>
                <m:r>
                  <m:t> · π</m:t>
                </m:r>
              </m:e>
            </m:d>
          </m:e>
        </m:d>
      </m:oMath>
      <w:r>
        <w:rPr>
          <w:rFonts w:ascii="Times New Roman" w:hAnsi="Times New Roman"/>
          <w:b/>
          <w:color w:val="4A5568"/>
          <w:sz w:val="20"/>
        </w:rPr>
        <w:tab/>
        <w:t>(6)</w:t>
      </w:r>
    </w:p>
    <w:p>
      <w:pPr>
        <w:keepNext/>
        <w:spacing w:before="200" w:after="60"/>
      </w:pPr>
      <w:r>
        <w:rPr>
          <w:rFonts w:ascii="Times New Roman" w:hAnsi="Times New Roman"/>
          <w:b/>
          <w:color w:val="134074"/>
          <w:sz w:val="22"/>
        </w:rPr>
        <w:t>1.5 Quantization Paradigms (Static PTQ vs. QAT) &amp; Integer Arithmetic</w:t>
      </w:r>
    </w:p>
    <w:p>
      <w:pPr>
        <w:spacing w:before="0" w:after="100" w:line="276" w:lineRule="auto"/>
        <w:jc w:val="both"/>
      </w:pPr>
      <w:r>
        <w:rPr>
          <w:rFonts w:ascii="Times New Roman" w:hAnsi="Times New Roman"/>
          <w:color w:val="222222"/>
          <w:sz w:val="20"/>
        </w:rPr>
        <w:t>Static Post-Training Quantization (PTQ): Evaluates true fixed-point execution. Weights are mapped to symmetric signed integers q_w in [-128, 127] with Z_w = 0. Activations are mapped to affine unsigned integers q_a in [0, 255] with dynamic zero-point Z_a &gt;= 0:</w:t>
      </w:r>
    </w:p>
    <w:p>
      <w:pPr>
        <w:tabs>
          <w:tab w:pos="9360" w:val="right"/>
        </w:tabs>
        <w:spacing w:before="80" w:after="100" w:line="276" w:lineRule="auto"/>
        <w:ind w:left="576"/>
      </w:pPr>
      <m:oMath>
        <m:sSub>
          <m:e>
            <m:r>
              <m:t>q</m:t>
            </m:r>
          </m:e>
          <m:sub>
            <m:r>
              <m:t>w</m:t>
            </m:r>
          </m:sub>
        </m:sSub>
        <m:r>
          <m:t> = clamp</m:t>
        </m:r>
        <m:d>
          <m:dPr>
            <m:begChr m:val="("/>
            <m:endChr m:val=")"/>
          </m:dPr>
          <m:e>
            <m:r>
              <m:t>round</m:t>
            </m:r>
            <m:d>
              <m:dPr>
                <m:begChr m:val="("/>
                <m:endChr m:val=")"/>
              </m:dPr>
              <m:e>
                <m:f>
                  <m:num>
                    <m:r>
                      <m:t>w</m:t>
                    </m:r>
                  </m:num>
                  <m:den>
                    <m:sSub>
                      <m:e>
                        <m:r>
                          <m:t>S</m:t>
                        </m:r>
                      </m:e>
                      <m:sub>
                        <m:r>
                          <m:t>w</m:t>
                        </m:r>
                      </m:sub>
                    </m:sSub>
                  </m:den>
                </m:f>
              </m:e>
            </m:d>
            <m:r>
              <m:t>,  -128,  127</m:t>
            </m:r>
          </m:e>
        </m:d>
        <m:r>
          <m:t>;    </m:t>
        </m:r>
        <m:sSub>
          <m:e>
            <m:r>
              <m:t>q</m:t>
            </m:r>
          </m:e>
          <m:sub>
            <m:r>
              <m:t>a</m:t>
            </m:r>
          </m:sub>
        </m:sSub>
        <m:r>
          <m:t> = clamp</m:t>
        </m:r>
        <m:d>
          <m:dPr>
            <m:begChr m:val="("/>
            <m:endChr m:val=")"/>
          </m:dPr>
          <m:e>
            <m:r>
              <m:t>round</m:t>
            </m:r>
            <m:d>
              <m:dPr>
                <m:begChr m:val="("/>
                <m:endChr m:val=")"/>
              </m:dPr>
              <m:e>
                <m:f>
                  <m:num>
                    <m:r>
                      <m:t>a</m:t>
                    </m:r>
                  </m:num>
                  <m:den>
                    <m:sSub>
                      <m:e>
                        <m:r>
                          <m:t>S</m:t>
                        </m:r>
                      </m:e>
                      <m:sub>
                        <m:r>
                          <m:t>a</m:t>
                        </m:r>
                      </m:sub>
                    </m:sSub>
                  </m:den>
                </m:f>
              </m:e>
            </m:d>
            <m:r>
              <m:t> + </m:t>
            </m:r>
            <m:sSub>
              <m:e>
                <m:r>
                  <m:t>Z</m:t>
                </m:r>
              </m:e>
              <m:sub>
                <m:r>
                  <m:t>a</m:t>
                </m:r>
              </m:sub>
            </m:sSub>
            <m:r>
              <m:t>,  0,  255</m:t>
            </m:r>
          </m:e>
        </m:d>
      </m:oMath>
      <w:r>
        <w:rPr>
          <w:rFonts w:ascii="Times New Roman" w:hAnsi="Times New Roman"/>
          <w:b/>
          <w:color w:val="4A5568"/>
          <w:sz w:val="20"/>
        </w:rPr>
        <w:tab/>
        <w:t>(7)</w:t>
      </w:r>
    </w:p>
    <w:p>
      <w:pPr>
        <w:spacing w:before="0" w:after="100" w:line="276" w:lineRule="auto"/>
        <w:jc w:val="both"/>
      </w:pPr>
      <w:r>
        <w:rPr>
          <w:rFonts w:ascii="Times New Roman" w:hAnsi="Times New Roman"/>
          <w:color w:val="222222"/>
          <w:sz w:val="20"/>
        </w:rPr>
        <w:t>Calibration is executed over a frozen subset drawn strictly from training data. Activation scale factors are estimated using PyTorch's HistogramObserver (KL divergence), while weight scales use MinMaxObserver.</w:t>
      </w:r>
    </w:p>
    <w:p>
      <w:pPr>
        <w:spacing w:before="0" w:after="100" w:line="276" w:lineRule="auto"/>
        <w:jc w:val="both"/>
      </w:pPr>
      <w:r>
        <w:rPr>
          <w:rFonts w:ascii="Times New Roman" w:hAnsi="Times New Roman"/>
          <w:color w:val="222222"/>
          <w:sz w:val="20"/>
        </w:rPr>
        <w:t>Quantization-Aware Training (QAT): Models truncation during fine-tuning using FakeQuantize modules:</w:t>
      </w:r>
    </w:p>
    <w:p>
      <w:pPr>
        <w:tabs>
          <w:tab w:pos="9360" w:val="right"/>
        </w:tabs>
        <w:spacing w:before="80" w:after="100" w:line="276" w:lineRule="auto"/>
        <w:ind w:left="576"/>
      </w:pPr>
      <m:oMath>
        <m:sSub>
          <m:e>
            <m:r>
              <m:t>q</m:t>
            </m:r>
          </m:e>
          <m:sub>
            <m:r>
              <m:t>fake</m:t>
            </m:r>
          </m:sub>
        </m:sSub>
        <m:d>
          <m:dPr>
            <m:begChr m:val="("/>
            <m:endChr m:val=")"/>
          </m:dPr>
          <m:e>
            <m:r>
              <m:t>x</m:t>
            </m:r>
          </m:e>
        </m:d>
        <m:r>
          <m:t> = S · </m:t>
        </m:r>
        <m:d>
          <m:dPr>
            <m:begChr m:val="["/>
            <m:endChr m:val="]"/>
          </m:dPr>
          <m:e>
            <m:r>
              <m:t>clamp</m:t>
            </m:r>
            <m:d>
              <m:dPr>
                <m:begChr m:val="("/>
                <m:endChr m:val=")"/>
              </m:dPr>
              <m:e>
                <m:r>
                  <m:t>round</m:t>
                </m:r>
                <m:d>
                  <m:dPr>
                    <m:begChr m:val="("/>
                    <m:endChr m:val=")"/>
                  </m:dPr>
                  <m:e>
                    <m:f>
                      <m:num>
                        <m:r>
                          <m:t>x</m:t>
                        </m:r>
                      </m:num>
                      <m:den>
                        <m:r>
                          <m:t>S</m:t>
                        </m:r>
                      </m:den>
                    </m:f>
                  </m:e>
                </m:d>
                <m:r>
                  <m:t> + Z,  </m:t>
                </m:r>
                <m:sSub>
                  <m:e>
                    <m:r>
                      <m:t>q</m:t>
                    </m:r>
                  </m:e>
                  <m:sub>
                    <m:r>
                      <m:t>min</m:t>
                    </m:r>
                  </m:sub>
                </m:sSub>
                <m:r>
                  <m:t>,  </m:t>
                </m:r>
                <m:sSub>
                  <m:e>
                    <m:r>
                      <m:t>q</m:t>
                    </m:r>
                  </m:e>
                  <m:sub>
                    <m:r>
                      <m:t>max</m:t>
                    </m:r>
                  </m:sub>
                </m:sSub>
              </m:e>
            </m:d>
            <m:r>
              <m:t> - Z</m:t>
            </m:r>
          </m:e>
        </m:d>
      </m:oMath>
      <w:r>
        <w:rPr>
          <w:rFonts w:ascii="Times New Roman" w:hAnsi="Times New Roman"/>
          <w:b/>
          <w:color w:val="4A5568"/>
          <w:sz w:val="20"/>
        </w:rPr>
        <w:tab/>
        <w:t>(8)</w:t>
      </w:r>
    </w:p>
    <w:p>
      <w:pPr>
        <w:spacing w:before="0" w:after="100" w:line="276" w:lineRule="auto"/>
        <w:jc w:val="both"/>
      </w:pPr>
      <w:r>
        <w:rPr>
          <w:rFonts w:ascii="Times New Roman" w:hAnsi="Times New Roman"/>
          <w:color w:val="222222"/>
          <w:sz w:val="20"/>
        </w:rPr>
        <w:t>Backpropagation is enabled via the Straight-Through Estimator (STE):</w:t>
      </w:r>
    </w:p>
    <w:p>
      <w:pPr>
        <w:tabs>
          <w:tab w:pos="9360" w:val="right"/>
        </w:tabs>
        <w:spacing w:before="80" w:after="100" w:line="276" w:lineRule="auto"/>
        <w:ind w:left="576"/>
      </w:pPr>
      <m:oMath>
        <m:f>
          <m:num>
            <m:r>
              <m:t>∂ </m:t>
            </m:r>
            <m:sSub>
              <m:e>
                <m:r>
                  <m:t>q</m:t>
                </m:r>
              </m:e>
              <m:sub>
                <m:r>
                  <m:t>fake</m:t>
                </m:r>
              </m:sub>
            </m:sSub>
            <m:d>
              <m:dPr>
                <m:begChr m:val="("/>
                <m:endChr m:val=")"/>
              </m:dPr>
              <m:e>
                <m:r>
                  <m:t>x</m:t>
                </m:r>
              </m:e>
            </m:d>
          </m:num>
          <m:den>
            <m:r>
              <m:t>∂ x</m:t>
            </m:r>
          </m:den>
        </m:f>
        <m:r>
          <m:t> = </m:t>
        </m:r>
        <m:d>
          <m:dPr>
            <m:begChr m:val="{"/>
            <m:endChr m:val=""/>
          </m:dPr>
          <m:e>
            <m:eqArr>
              <m:e>
                <m:r>
                  <m:t>1,    if  </m:t>
                </m:r>
                <m:sSub>
                  <m:e>
                    <m:r>
                      <m:t>q</m:t>
                    </m:r>
                  </m:e>
                  <m:sub>
                    <m:r>
                      <m:t>min</m:t>
                    </m:r>
                  </m:sub>
                </m:sSub>
                <m:r>
                  <m:t> ≤ </m:t>
                </m:r>
                <m:f>
                  <m:num>
                    <m:r>
                      <m:t>x</m:t>
                    </m:r>
                  </m:num>
                  <m:den>
                    <m:r>
                      <m:t>S</m:t>
                    </m:r>
                  </m:den>
                </m:f>
                <m:r>
                  <m:t> + Z ≤ </m:t>
                </m:r>
                <m:sSub>
                  <m:e>
                    <m:r>
                      <m:t>q</m:t>
                    </m:r>
                  </m:e>
                  <m:sub>
                    <m:r>
                      <m:t>max</m:t>
                    </m:r>
                  </m:sub>
                </m:sSub>
              </m:e>
              <m:e>
                <m:r>
                  <m:t>0,    otherwise</m:t>
                </m:r>
              </m:e>
            </m:eqArr>
          </m:e>
        </m:d>
      </m:oMath>
      <w:r>
        <w:rPr>
          <w:rFonts w:ascii="Times New Roman" w:hAnsi="Times New Roman"/>
          <w:b/>
          <w:color w:val="4A5568"/>
          <w:sz w:val="20"/>
        </w:rPr>
        <w:tab/>
        <w:t>(9)</w:t>
      </w:r>
    </w:p>
    <w:p>
      <w:pPr>
        <w:spacing w:before="0" w:after="100" w:line="276" w:lineRule="auto"/>
        <w:jc w:val="both"/>
      </w:pPr>
      <w:r>
        <w:rPr>
          <w:rFonts w:ascii="Times New Roman" w:hAnsi="Times New Roman"/>
          <w:color w:val="222222"/>
          <w:sz w:val="20"/>
        </w:rPr>
        <w:t>Following fine-tuning, the QAT model is frozen and converted into true integer inference modules. Converted TorchScript graphs are inspected to verify that fixed-point kernels execute on the hardware engine (QNNPACK/FBGEMM) without unexpected floating-point fallback.</w:t>
      </w:r>
    </w:p>
    <w:p>
      <w:pPr>
        <w:keepNext/>
        <w:spacing w:before="200" w:after="60"/>
      </w:pPr>
      <w:r>
        <w:rPr>
          <w:rFonts w:ascii="Times New Roman" w:hAnsi="Times New Roman"/>
          <w:b/>
          <w:color w:val="134074"/>
          <w:sz w:val="22"/>
        </w:rPr>
        <w:t>1.6 Unified Explainability Protocol &amp; Attribution Drift Metrics</w:t>
      </w:r>
    </w:p>
    <w:p>
      <w:pPr>
        <w:spacing w:before="0" w:after="100" w:line="276" w:lineRule="auto"/>
        <w:jc w:val="both"/>
      </w:pPr>
      <w:r>
        <w:rPr>
          <w:rFonts w:ascii="Times New Roman" w:hAnsi="Times New Roman"/>
          <w:color w:val="222222"/>
          <w:sz w:val="20"/>
        </w:rPr>
        <w:t>To isolate model quantization from explainer discrepancy, the primary attribution evaluation uses one model-agnostic, perturbation-based explainer (KernelSHAP) querying the discrete deployed FP32, PTQ, and QAT models on disk under identical coalition sampling settings (nsamples = 150) and a frozen training-derived reference background.</w:t>
      </w:r>
    </w:p>
    <w:p>
      <w:pPr>
        <w:spacing w:before="0" w:after="100" w:line="276" w:lineRule="auto"/>
        <w:jc w:val="both"/>
      </w:pPr>
      <w:r>
        <w:rPr>
          <w:rFonts w:ascii="Times New Roman" w:hAnsi="Times New Roman"/>
          <w:color w:val="222222"/>
          <w:sz w:val="20"/>
        </w:rPr>
        <w:t>Integrated Gradients is evaluated as a secondary comparative analysis on differentiable continuous FakeQuant STE surrogate models across m = 30 steps. Gradients through STE surrogates explain the surrogate function, not the discrete integer runtime; cross-explainer differences are reported separately.</w:t>
      </w:r>
    </w:p>
    <w:p>
      <w:pPr>
        <w:spacing w:before="0" w:after="100" w:line="276" w:lineRule="auto"/>
        <w:jc w:val="both"/>
      </w:pPr>
      <w:r>
        <w:rPr>
          <w:rFonts w:ascii="Times New Roman" w:hAnsi="Times New Roman"/>
          <w:color w:val="222222"/>
          <w:sz w:val="20"/>
        </w:rPr>
        <w:t>Attribution vectors phi_FP32 and phi_INT8 are evaluated across four primary mathematical metrics, summarized in Table I.</w:t>
      </w:r>
    </w:p>
    <w:p>
      <w:pPr>
        <w:keepNext/>
        <w:spacing w:before="160" w:after="40"/>
      </w:pPr>
      <w:r>
        <w:rPr>
          <w:rFonts w:ascii="Times New Roman" w:hAnsi="Times New Roman"/>
          <w:b/>
          <w:color w:val="0B2545"/>
          <w:sz w:val="19"/>
        </w:rPr>
        <w:t>TABLE I: MATHEMATICAL ATTRIBUTION DRIFT METRICS AND RANGES</w:t>
      </w:r>
    </w:p>
    <w:tbl>
      <w:tblPr>
        <w:tblW w:type="auto" w:w="0"/>
        <w:jc w:val="center"/>
        <w:tblLayout w:type="fixed"/>
        <w:tblLook w:firstColumn="1" w:firstRow="1" w:lastColumn="0" w:lastRow="0" w:noHBand="0" w:noVBand="1" w:val="04A0"/>
        <w:tblBorders>
          <w:top w:val="single" w:sz="12" w:space="0" w:color="0B2545"/>
          <w:bottom w:val="single" w:sz="12" w:space="0" w:color="0B2545"/>
          <w:insideH w:val="single" w:sz="4" w:space="0" w:color="CBD5E1"/>
          <w:insideV w:val="none"/>
          <w:left w:val="none"/>
          <w:right w:val="none"/>
        </w:tblBorders>
      </w:tblPr>
      <w:tblGrid>
        <w:gridCol w:w="2340"/>
        <w:gridCol w:w="2340"/>
        <w:gridCol w:w="2340"/>
        <w:gridCol w:w="2340"/>
      </w:tblGrid>
      <w:tr>
        <w:tc>
          <w:tcPr>
            <w:tcW w:type="dxa" w:w="2592"/>
            <w:tcMar>
              <w:top w:w="90" w:type="dxa"/>
              <w:bottom w:w="90" w:type="dxa"/>
              <w:left w:w="110" w:type="dxa"/>
              <w:right w:w="110" w:type="dxa"/>
            </w:tcMar>
            <w:shd w:fill="F0F4F8"/>
          </w:tcPr>
          <w:p>
            <w:pPr>
              <w:spacing w:before="0" w:after="0"/>
              <w:jc w:val="center"/>
            </w:pPr>
            <w:r>
              <w:rPr>
                <w:rFonts w:ascii="Times New Roman" w:hAnsi="Times New Roman"/>
                <w:b/>
                <w:color w:val="0B2545"/>
                <w:sz w:val="18"/>
              </w:rPr>
              <w:t>Metric Name</w:t>
            </w:r>
          </w:p>
        </w:tc>
        <w:tc>
          <w:tcPr>
            <w:tcW w:type="dxa" w:w="3888"/>
            <w:tcMar>
              <w:top w:w="90" w:type="dxa"/>
              <w:bottom w:w="90" w:type="dxa"/>
              <w:left w:w="110" w:type="dxa"/>
              <w:right w:w="110" w:type="dxa"/>
            </w:tcMar>
            <w:shd w:fill="F0F4F8"/>
          </w:tcPr>
          <w:p>
            <w:pPr>
              <w:spacing w:before="0" w:after="0"/>
              <w:jc w:val="center"/>
            </w:pPr>
            <w:r>
              <w:rPr>
                <w:rFonts w:ascii="Times New Roman" w:hAnsi="Times New Roman"/>
                <w:b/>
                <w:color w:val="0B2545"/>
                <w:sz w:val="18"/>
              </w:rPr>
              <w:t>Mathematical Formulation</w:t>
            </w:r>
          </w:p>
        </w:tc>
        <w:tc>
          <w:tcPr>
            <w:tcW w:type="dxa" w:w="1152"/>
            <w:tcMar>
              <w:top w:w="90" w:type="dxa"/>
              <w:bottom w:w="90" w:type="dxa"/>
              <w:left w:w="110" w:type="dxa"/>
              <w:right w:w="110" w:type="dxa"/>
            </w:tcMar>
            <w:shd w:fill="F0F4F8"/>
          </w:tcPr>
          <w:p>
            <w:pPr>
              <w:spacing w:before="0" w:after="0"/>
              <w:jc w:val="center"/>
            </w:pPr>
            <w:r>
              <w:rPr>
                <w:rFonts w:ascii="Times New Roman" w:hAnsi="Times New Roman"/>
                <w:b/>
                <w:color w:val="0B2545"/>
                <w:sz w:val="18"/>
              </w:rPr>
              <w:t>Range</w:t>
            </w:r>
          </w:p>
        </w:tc>
        <w:tc>
          <w:tcPr>
            <w:tcW w:type="dxa" w:w="1728"/>
            <w:tcMar>
              <w:top w:w="90" w:type="dxa"/>
              <w:bottom w:w="90" w:type="dxa"/>
              <w:left w:w="110" w:type="dxa"/>
              <w:right w:w="110" w:type="dxa"/>
            </w:tcMar>
            <w:shd w:fill="F0F4F8"/>
          </w:tcPr>
          <w:p>
            <w:pPr>
              <w:spacing w:before="0" w:after="0"/>
              <w:jc w:val="center"/>
            </w:pPr>
            <w:r>
              <w:rPr>
                <w:rFonts w:ascii="Times New Roman" w:hAnsi="Times New Roman"/>
                <w:b/>
                <w:color w:val="0B2545"/>
                <w:sz w:val="18"/>
              </w:rPr>
              <w:t>Analytical Focus</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Top-k Feature IoU</w:t>
            </w:r>
          </w:p>
        </w:tc>
        <w:tc>
          <w:tcPr>
            <w:tcW w:type="dxa" w:w="3888"/>
            <w:tcMar>
              <w:top w:w="70" w:type="dxa"/>
              <w:bottom w:w="70" w:type="dxa"/>
              <w:left w:w="110" w:type="dxa"/>
              <w:right w:w="110" w:type="dxa"/>
            </w:tcMar>
          </w:tcPr>
          <w:p>
            <w:pPr>
              <w:jc w:val="left"/>
            </w:pPr>
            <m:oMath>
              <m:sSub>
                <m:e>
                  <m:r>
                    <m:t>IoU</m:t>
                  </m:r>
                </m:e>
                <m:sub>
                  <m:r>
                    <m:t>feat</m:t>
                  </m:r>
                </m:sub>
              </m:sSub>
              <m:r>
                <m:t> = </m:t>
              </m:r>
              <m:f>
                <m:num>
                  <m:d>
                    <m:dPr>
                      <m:begChr m:val="|"/>
                      <m:endChr m:val="|"/>
                    </m:dPr>
                    <m:e>
                      <m:sSub>
                        <m:e>
                          <m:r>
                            <m:t>𝒯</m:t>
                          </m:r>
                        </m:e>
                        <m:sub>
                          <m:r>
                            <m:t>k</m:t>
                          </m:r>
                        </m:sub>
                      </m:sSub>
                      <m:d>
                        <m:dPr>
                          <m:begChr m:val="("/>
                          <m:endChr m:val=")"/>
                        </m:dPr>
                        <m:e>
                          <m:d>
                            <m:dPr>
                              <m:begChr m:val="|"/>
                              <m:endChr m:val="|"/>
                            </m:dPr>
                            <m:e>
                              <m:sSub>
                                <m:e>
                                  <m:r>
                                    <m:t>ϕ</m:t>
                                  </m:r>
                                </m:e>
                                <m:sub>
                                  <m:r>
                                    <m:t>FP32</m:t>
                                  </m:r>
                                </m:sub>
                              </m:sSub>
                            </m:e>
                          </m:d>
                        </m:e>
                      </m:d>
                      <m:r>
                        <m:t> ∩ </m:t>
                      </m:r>
                      <m:sSub>
                        <m:e>
                          <m:r>
                            <m:t>𝒯</m:t>
                          </m:r>
                        </m:e>
                        <m:sub>
                          <m:r>
                            <m:t>k</m:t>
                          </m:r>
                        </m:sub>
                      </m:sSub>
                      <m:d>
                        <m:dPr>
                          <m:begChr m:val="("/>
                          <m:endChr m:val=")"/>
                        </m:dPr>
                        <m:e>
                          <m:d>
                            <m:dPr>
                              <m:begChr m:val="|"/>
                              <m:endChr m:val="|"/>
                            </m:dPr>
                            <m:e>
                              <m:sSub>
                                <m:e>
                                  <m:r>
                                    <m:t>ϕ</m:t>
                                  </m:r>
                                </m:e>
                                <m:sub>
                                  <m:r>
                                    <m:t>INT8</m:t>
                                  </m:r>
                                </m:sub>
                              </m:sSub>
                            </m:e>
                          </m:d>
                        </m:e>
                      </m:d>
                    </m:e>
                  </m:d>
                </m:num>
                <m:den>
                  <m:d>
                    <m:dPr>
                      <m:begChr m:val="|"/>
                      <m:endChr m:val="|"/>
                    </m:dPr>
                    <m:e>
                      <m:sSub>
                        <m:e>
                          <m:r>
                            <m:t>𝒯</m:t>
                          </m:r>
                        </m:e>
                        <m:sub>
                          <m:r>
                            <m:t>k</m:t>
                          </m:r>
                        </m:sub>
                      </m:sSub>
                      <m:d>
                        <m:dPr>
                          <m:begChr m:val="("/>
                          <m:endChr m:val=")"/>
                        </m:dPr>
                        <m:e>
                          <m:d>
                            <m:dPr>
                              <m:begChr m:val="|"/>
                              <m:endChr m:val="|"/>
                            </m:dPr>
                            <m:e>
                              <m:sSub>
                                <m:e>
                                  <m:r>
                                    <m:t>ϕ</m:t>
                                  </m:r>
                                </m:e>
                                <m:sub>
                                  <m:r>
                                    <m:t>FP32</m:t>
                                  </m:r>
                                </m:sub>
                              </m:sSub>
                            </m:e>
                          </m:d>
                        </m:e>
                      </m:d>
                      <m:r>
                        <m:t> ∪ </m:t>
                      </m:r>
                      <m:sSub>
                        <m:e>
                          <m:r>
                            <m:t>𝒯</m:t>
                          </m:r>
                        </m:e>
                        <m:sub>
                          <m:r>
                            <m:t>k</m:t>
                          </m:r>
                        </m:sub>
                      </m:sSub>
                      <m:d>
                        <m:dPr>
                          <m:begChr m:val="("/>
                          <m:endChr m:val=")"/>
                        </m:dPr>
                        <m:e>
                          <m:d>
                            <m:dPr>
                              <m:begChr m:val="|"/>
                              <m:endChr m:val="|"/>
                            </m:dPr>
                            <m:e>
                              <m:sSub>
                                <m:e>
                                  <m:r>
                                    <m:t>ϕ</m:t>
                                  </m:r>
                                </m:e>
                                <m:sub>
                                  <m:r>
                                    <m:t>INT8</m:t>
                                  </m:r>
                                </m:sub>
                              </m:sSub>
                            </m:e>
                          </m:d>
                        </m:e>
                      </m:d>
                    </m:e>
                  </m:d>
                </m:den>
              </m:f>
            </m:oMath>
          </w:p>
        </w:tc>
        <w:tc>
          <w:tcPr>
            <w:tcW w:type="dxa" w:w="1152"/>
            <w:tcMar>
              <w:top w:w="70" w:type="dxa"/>
              <w:bottom w:w="70" w:type="dxa"/>
              <w:left w:w="110" w:type="dxa"/>
              <w:right w:w="110" w:type="dxa"/>
            </w:tcMar>
          </w:tcPr>
          <w:p>
            <w:pPr>
              <w:jc w:val="center"/>
            </w:pPr>
            <w:r>
              <w:rPr>
                <w:rFonts w:ascii="Times New Roman" w:hAnsi="Times New Roman"/>
                <w:color w:val="222222"/>
                <w:sz w:val="17"/>
              </w:rPr>
              <w:t>[0, 1]</w:t>
            </w:r>
          </w:p>
        </w:tc>
        <w:tc>
          <w:tcPr>
            <w:tcW w:type="dxa" w:w="1728"/>
            <w:tcMar>
              <w:top w:w="70" w:type="dxa"/>
              <w:bottom w:w="70" w:type="dxa"/>
              <w:left w:w="110" w:type="dxa"/>
              <w:right w:w="110" w:type="dxa"/>
            </w:tcMar>
          </w:tcPr>
          <w:p>
            <w:pPr>
              <w:jc w:val="left"/>
            </w:pPr>
            <w:r>
              <w:rPr>
                <w:rFonts w:ascii="Times New Roman" w:hAnsi="Times New Roman"/>
                <w:color w:val="222222"/>
                <w:sz w:val="17"/>
              </w:rPr>
              <w:t>Absolute salient feature overlap</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Top-k Packet IoU</w:t>
            </w:r>
          </w:p>
        </w:tc>
        <w:tc>
          <w:tcPr>
            <w:tcW w:type="dxa" w:w="3888"/>
            <w:tcMar>
              <w:top w:w="70" w:type="dxa"/>
              <w:bottom w:w="70" w:type="dxa"/>
              <w:left w:w="110" w:type="dxa"/>
              <w:right w:w="110" w:type="dxa"/>
            </w:tcMar>
          </w:tcPr>
          <w:p>
            <w:pPr>
              <w:jc w:val="left"/>
            </w:pPr>
            <m:oMath>
              <m:sSub>
                <m:e>
                  <m:r>
                    <m:t>IoU</m:t>
                  </m:r>
                </m:e>
                <m:sub>
                  <m:r>
                    <m:t>pkt</m:t>
                  </m:r>
                </m:sub>
              </m:sSub>
              <m:r>
                <m:t> = </m:t>
              </m:r>
              <m:f>
                <m:num>
                  <m:d>
                    <m:dPr>
                      <m:begChr m:val="|"/>
                      <m:endChr m:val="|"/>
                    </m:dPr>
                    <m:e>
                      <m:sSub>
                        <m:e>
                          <m:r>
                            <m:t>𝒯</m:t>
                          </m:r>
                        </m:e>
                        <m:sub>
                          <m:r>
                            <m:t>k</m:t>
                          </m:r>
                        </m:sub>
                      </m:sSub>
                      <m:d>
                        <m:dPr>
                          <m:begChr m:val="("/>
                          <m:endChr m:val=")"/>
                        </m:dPr>
                        <m:e>
                          <m:sSub>
                            <m:e>
                              <m:r>
                                <m:t>ψ</m:t>
                              </m:r>
                            </m:e>
                            <m:sub>
                              <m:r>
                                <m:t>FP32</m:t>
                              </m:r>
                            </m:sub>
                          </m:sSub>
                        </m:e>
                      </m:d>
                      <m:r>
                        <m:t> ∩ </m:t>
                      </m:r>
                      <m:sSub>
                        <m:e>
                          <m:r>
                            <m:t>𝒯</m:t>
                          </m:r>
                        </m:e>
                        <m:sub>
                          <m:r>
                            <m:t>k</m:t>
                          </m:r>
                        </m:sub>
                      </m:sSub>
                      <m:d>
                        <m:dPr>
                          <m:begChr m:val="("/>
                          <m:endChr m:val=")"/>
                        </m:dPr>
                        <m:e>
                          <m:sSub>
                            <m:e>
                              <m:r>
                                <m:t>ψ</m:t>
                              </m:r>
                            </m:e>
                            <m:sub>
                              <m:r>
                                <m:t>INT8</m:t>
                              </m:r>
                            </m:sub>
                          </m:sSub>
                        </m:e>
                      </m:d>
                    </m:e>
                  </m:d>
                </m:num>
                <m:den>
                  <m:d>
                    <m:dPr>
                      <m:begChr m:val="|"/>
                      <m:endChr m:val="|"/>
                    </m:dPr>
                    <m:e>
                      <m:sSub>
                        <m:e>
                          <m:r>
                            <m:t>𝒯</m:t>
                          </m:r>
                        </m:e>
                        <m:sub>
                          <m:r>
                            <m:t>k</m:t>
                          </m:r>
                        </m:sub>
                      </m:sSub>
                      <m:d>
                        <m:dPr>
                          <m:begChr m:val="("/>
                          <m:endChr m:val=")"/>
                        </m:dPr>
                        <m:e>
                          <m:sSub>
                            <m:e>
                              <m:r>
                                <m:t>ψ</m:t>
                              </m:r>
                            </m:e>
                            <m:sub>
                              <m:r>
                                <m:t>FP32</m:t>
                              </m:r>
                            </m:sub>
                          </m:sSub>
                        </m:e>
                      </m:d>
                      <m:r>
                        <m:t> ∪ </m:t>
                      </m:r>
                      <m:sSub>
                        <m:e>
                          <m:r>
                            <m:t>𝒯</m:t>
                          </m:r>
                        </m:e>
                        <m:sub>
                          <m:r>
                            <m:t>k</m:t>
                          </m:r>
                        </m:sub>
                      </m:sSub>
                      <m:d>
                        <m:dPr>
                          <m:begChr m:val="("/>
                          <m:endChr m:val=")"/>
                        </m:dPr>
                        <m:e>
                          <m:sSub>
                            <m:e>
                              <m:r>
                                <m:t>ψ</m:t>
                              </m:r>
                            </m:e>
                            <m:sub>
                              <m:r>
                                <m:t>INT8</m:t>
                              </m:r>
                            </m:sub>
                          </m:sSub>
                        </m:e>
                      </m:d>
                    </m:e>
                  </m:d>
                </m:den>
              </m:f>
              <m:r>
                <m:t>,    </m:t>
              </m:r>
              <m:sSub>
                <m:e>
                  <m:r>
                    <m:t>ψ</m:t>
                  </m:r>
                </m:e>
                <m:sub>
                  <m:r>
                    <m:t>t</m:t>
                  </m:r>
                </m:sub>
              </m:sSub>
              <m:r>
                <m:t> = |</m:t>
              </m:r>
              <m:sSub>
                <m:e>
                  <m:r>
                    <m:t>ϕ</m:t>
                  </m:r>
                </m:e>
                <m:sub>
                  <m:r>
                    <m:t>0,t</m:t>
                  </m:r>
                </m:sub>
              </m:sSub>
              <m:r>
                <m:t>| + |</m:t>
              </m:r>
              <m:sSub>
                <m:e>
                  <m:r>
                    <m:t>ϕ</m:t>
                  </m:r>
                </m:e>
                <m:sub>
                  <m:r>
                    <m:t>1,t</m:t>
                  </m:r>
                </m:sub>
              </m:sSub>
              <m:r>
                <m:t>|</m:t>
              </m:r>
            </m:oMath>
          </w:p>
        </w:tc>
        <w:tc>
          <w:tcPr>
            <w:tcW w:type="dxa" w:w="1152"/>
            <w:tcMar>
              <w:top w:w="70" w:type="dxa"/>
              <w:bottom w:w="70" w:type="dxa"/>
              <w:left w:w="110" w:type="dxa"/>
              <w:right w:w="110" w:type="dxa"/>
            </w:tcMar>
          </w:tcPr>
          <w:p>
            <w:pPr>
              <w:jc w:val="center"/>
            </w:pPr>
            <w:r>
              <w:rPr>
                <w:rFonts w:ascii="Times New Roman" w:hAnsi="Times New Roman"/>
                <w:color w:val="222222"/>
                <w:sz w:val="17"/>
              </w:rPr>
              <w:t>[0, 1]</w:t>
            </w:r>
          </w:p>
        </w:tc>
        <w:tc>
          <w:tcPr>
            <w:tcW w:type="dxa" w:w="1728"/>
            <w:tcMar>
              <w:top w:w="70" w:type="dxa"/>
              <w:bottom w:w="70" w:type="dxa"/>
              <w:left w:w="110" w:type="dxa"/>
              <w:right w:w="110" w:type="dxa"/>
            </w:tcMar>
          </w:tcPr>
          <w:p>
            <w:pPr>
              <w:jc w:val="left"/>
            </w:pPr>
            <w:r>
              <w:rPr>
                <w:rFonts w:ascii="Times New Roman" w:hAnsi="Times New Roman"/>
                <w:color w:val="222222"/>
                <w:sz w:val="17"/>
              </w:rPr>
              <w:t>Channel-collapsed packet shifts</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Total Variation Dist.</w:t>
            </w:r>
          </w:p>
        </w:tc>
        <w:tc>
          <w:tcPr>
            <w:tcW w:type="dxa" w:w="3888"/>
            <w:tcMar>
              <w:top w:w="70" w:type="dxa"/>
              <w:bottom w:w="70" w:type="dxa"/>
              <w:left w:w="110" w:type="dxa"/>
              <w:right w:w="110" w:type="dxa"/>
            </w:tcMar>
          </w:tcPr>
          <w:p>
            <w:pPr>
              <w:jc w:val="left"/>
            </w:pPr>
            <m:oMath>
              <m:sSub>
                <m:e>
                  <m:r>
                    <m:t>D</m:t>
                  </m:r>
                </m:e>
                <m:sub>
                  <m:r>
                    <m:t>TV</m:t>
                  </m:r>
                </m:sub>
              </m:sSub>
              <m:r>
                <m:t> = </m:t>
              </m:r>
              <m:f>
                <m:num>
                  <m:r>
                    <m:t>1</m:t>
                  </m:r>
                </m:num>
                <m:den>
                  <m:r>
                    <m:t>2</m:t>
                  </m:r>
                </m:den>
              </m:f>
              <m:nary>
                <m:naryPr>
                  <m:chr m:val="∑"/>
                </m:naryPr>
                <m:sub>
                  <m:r>
                    <m:t>j=1</m:t>
                  </m:r>
                </m:sub>
                <m:sup>
                  <m:r>
                    <m:t>M</m:t>
                  </m:r>
                </m:sup>
                <m:e>
                  <m:d>
                    <m:dPr>
                      <m:begChr m:val="|"/>
                      <m:endChr m:val="|"/>
                    </m:dPr>
                    <m:e>
                      <m:f>
                        <m:num>
                          <m:d>
                            <m:dPr>
                              <m:begChr m:val="|"/>
                              <m:endChr m:val="|"/>
                            </m:dPr>
                            <m:e>
                              <m:sSub>
                                <m:e>
                                  <m:r>
                                    <m:t>ϕ</m:t>
                                  </m:r>
                                </m:e>
                                <m:sub>
                                  <m:r>
                                    <m:t>FP32,j</m:t>
                                  </m:r>
                                </m:sub>
                              </m:sSub>
                            </m:e>
                          </m:d>
                        </m:num>
                        <m:den>
                          <m:r>
                            <m:t>∑ |</m:t>
                          </m:r>
                          <m:sSub>
                            <m:e>
                              <m:r>
                                <m:t>ϕ</m:t>
                              </m:r>
                            </m:e>
                            <m:sub>
                              <m:r>
                                <m:t>FP32</m:t>
                              </m:r>
                            </m:sub>
                          </m:sSub>
                          <m:r>
                            <m:t>|</m:t>
                          </m:r>
                        </m:den>
                      </m:f>
                      <m:r>
                        <m:t> - </m:t>
                      </m:r>
                      <m:f>
                        <m:num>
                          <m:d>
                            <m:dPr>
                              <m:begChr m:val="|"/>
                              <m:endChr m:val="|"/>
                            </m:dPr>
                            <m:e>
                              <m:sSub>
                                <m:e>
                                  <m:r>
                                    <m:t>ϕ</m:t>
                                  </m:r>
                                </m:e>
                                <m:sub>
                                  <m:r>
                                    <m:t>INT8,j</m:t>
                                  </m:r>
                                </m:sub>
                              </m:sSub>
                            </m:e>
                          </m:d>
                        </m:num>
                        <m:den>
                          <m:r>
                            <m:t>∑ |</m:t>
                          </m:r>
                          <m:sSub>
                            <m:e>
                              <m:r>
                                <m:t>ϕ</m:t>
                              </m:r>
                            </m:e>
                            <m:sub>
                              <m:r>
                                <m:t>INT8</m:t>
                              </m:r>
                            </m:sub>
                          </m:sSub>
                          <m:r>
                            <m:t>|</m:t>
                          </m:r>
                        </m:den>
                      </m:f>
                    </m:e>
                  </m:d>
                </m:e>
              </m:nary>
            </m:oMath>
          </w:p>
        </w:tc>
        <w:tc>
          <w:tcPr>
            <w:tcW w:type="dxa" w:w="1152"/>
            <w:tcMar>
              <w:top w:w="70" w:type="dxa"/>
              <w:bottom w:w="70" w:type="dxa"/>
              <w:left w:w="110" w:type="dxa"/>
              <w:right w:w="110" w:type="dxa"/>
            </w:tcMar>
          </w:tcPr>
          <w:p>
            <w:pPr>
              <w:jc w:val="center"/>
            </w:pPr>
            <w:r>
              <w:rPr>
                <w:rFonts w:ascii="Times New Roman" w:hAnsi="Times New Roman"/>
                <w:color w:val="222222"/>
                <w:sz w:val="17"/>
              </w:rPr>
              <w:t>[0, 1]</w:t>
            </w:r>
          </w:p>
        </w:tc>
        <w:tc>
          <w:tcPr>
            <w:tcW w:type="dxa" w:w="1728"/>
            <w:tcMar>
              <w:top w:w="70" w:type="dxa"/>
              <w:bottom w:w="70" w:type="dxa"/>
              <w:left w:w="110" w:type="dxa"/>
              <w:right w:w="110" w:type="dxa"/>
            </w:tcMar>
          </w:tcPr>
          <w:p>
            <w:pPr>
              <w:jc w:val="left"/>
            </w:pPr>
            <w:r>
              <w:rPr>
                <w:rFonts w:ascii="Times New Roman" w:hAnsi="Times New Roman"/>
                <w:color w:val="222222"/>
                <w:sz w:val="17"/>
              </w:rPr>
              <w:t>Attribution mass distribution shift (recommended primary)</w:t>
            </w:r>
          </w:p>
        </w:tc>
      </w:tr>
      <w:tr>
        <w:tc>
          <w:tcPr>
            <w:tcW w:type="dxa" w:w="2592"/>
            <w:tcMar>
              <w:top w:w="70" w:type="dxa"/>
              <w:bottom w:w="70" w:type="dxa"/>
              <w:left w:w="110" w:type="dxa"/>
              <w:right w:w="110" w:type="dxa"/>
            </w:tcMar>
          </w:tcPr>
          <w:p>
            <w:pPr>
              <w:jc w:val="left"/>
            </w:pPr>
            <w:r>
              <w:rPr>
                <w:rFonts w:ascii="Times New Roman" w:hAnsi="Times New Roman"/>
                <w:b/>
                <w:color w:val="222222"/>
                <w:sz w:val="17"/>
              </w:rPr>
              <w:t>Normalized L2 Dist.</w:t>
            </w:r>
          </w:p>
        </w:tc>
        <w:tc>
          <w:tcPr>
            <w:tcW w:type="dxa" w:w="3888"/>
            <w:tcMar>
              <w:top w:w="70" w:type="dxa"/>
              <w:bottom w:w="70" w:type="dxa"/>
              <w:left w:w="110" w:type="dxa"/>
              <w:right w:w="110" w:type="dxa"/>
            </w:tcMar>
          </w:tcPr>
          <w:p>
            <w:pPr>
              <w:jc w:val="left"/>
            </w:pPr>
            <m:oMath>
              <m:sSub>
                <m:e>
                  <m:r>
                    <m:t>D</m:t>
                  </m:r>
                </m:e>
                <m:sub>
                  <m:r>
                    <m:t>L2</m:t>
                  </m:r>
                </m:sub>
              </m:sSub>
              <m:r>
                <m:t> = </m:t>
              </m:r>
              <m:f>
                <m:num>
                  <m:r>
                    <m:t>1</m:t>
                  </m:r>
                </m:num>
                <m:den>
                  <m:rad>
                    <m:radPr>
                      <m:degHide m:val="1"/>
                    </m:radPr>
                    <m:e>
                      <m:r>
                        <m:t>2</m:t>
                      </m:r>
                    </m:e>
                  </m:rad>
                </m:den>
              </m:f>
              <m:sSub>
                <m:e>
                  <m:d>
                    <m:dPr>
                      <m:begChr m:val="‖"/>
                      <m:endChr m:val="‖"/>
                    </m:dPr>
                    <m:e>
                      <m:f>
                        <m:num>
                          <m:sSub>
                            <m:e>
                              <m:r>
                                <m:t>ϕ</m:t>
                              </m:r>
                            </m:e>
                            <m:sub>
                              <m:r>
                                <m:t>FP32</m:t>
                              </m:r>
                            </m:sub>
                          </m:sSub>
                        </m:num>
                        <m:den>
                          <m:sSub>
                            <m:e>
                              <m:d>
                                <m:dPr>
                                  <m:begChr m:val="‖"/>
                                  <m:endChr m:val="‖"/>
                                </m:dPr>
                                <m:e>
                                  <m:sSub>
                                    <m:e>
                                      <m:r>
                                        <m:t>ϕ</m:t>
                                      </m:r>
                                    </m:e>
                                    <m:sub>
                                      <m:r>
                                        <m:t>FP32</m:t>
                                      </m:r>
                                    </m:sub>
                                  </m:sSub>
                                </m:e>
                              </m:d>
                            </m:e>
                            <m:sub>
                              <m:r>
                                <m:t>2</m:t>
                              </m:r>
                            </m:sub>
                          </m:sSub>
                        </m:den>
                      </m:f>
                      <m:r>
                        <m:t> - </m:t>
                      </m:r>
                      <m:f>
                        <m:num>
                          <m:sSub>
                            <m:e>
                              <m:r>
                                <m:t>ϕ</m:t>
                              </m:r>
                            </m:e>
                            <m:sub>
                              <m:r>
                                <m:t>INT8</m:t>
                              </m:r>
                            </m:sub>
                          </m:sSub>
                        </m:num>
                        <m:den>
                          <m:sSub>
                            <m:e>
                              <m:d>
                                <m:dPr>
                                  <m:begChr m:val="‖"/>
                                  <m:endChr m:val="‖"/>
                                </m:dPr>
                                <m:e>
                                  <m:sSub>
                                    <m:e>
                                      <m:r>
                                        <m:t>ϕ</m:t>
                                      </m:r>
                                    </m:e>
                                    <m:sub>
                                      <m:r>
                                        <m:t>INT8</m:t>
                                      </m:r>
                                    </m:sub>
                                  </m:sSub>
                                </m:e>
                              </m:d>
                            </m:e>
                            <m:sub>
                              <m:r>
                                <m:t>2</m:t>
                              </m:r>
                            </m:sub>
                          </m:sSub>
                        </m:den>
                      </m:f>
                    </m:e>
                  </m:d>
                </m:e>
                <m:sub>
                  <m:r>
                    <m:t>2</m:t>
                  </m:r>
                </m:sub>
              </m:sSub>
            </m:oMath>
          </w:p>
        </w:tc>
        <w:tc>
          <w:tcPr>
            <w:tcW w:type="dxa" w:w="1152"/>
            <w:tcMar>
              <w:top w:w="70" w:type="dxa"/>
              <w:bottom w:w="70" w:type="dxa"/>
              <w:left w:w="110" w:type="dxa"/>
              <w:right w:w="110" w:type="dxa"/>
            </w:tcMar>
          </w:tcPr>
          <w:p>
            <w:pPr>
              <w:jc w:val="center"/>
            </w:pPr>
            <w:r>
              <w:rPr>
                <w:rFonts w:ascii="Times New Roman" w:hAnsi="Times New Roman"/>
                <w:color w:val="222222"/>
                <w:sz w:val="17"/>
              </w:rPr>
              <w:t>[0, 1]*</w:t>
            </w:r>
          </w:p>
        </w:tc>
        <w:tc>
          <w:tcPr>
            <w:tcW w:type="dxa" w:w="1728"/>
            <w:tcMar>
              <w:top w:w="70" w:type="dxa"/>
              <w:bottom w:w="70" w:type="dxa"/>
              <w:left w:w="110" w:type="dxa"/>
              <w:right w:w="110" w:type="dxa"/>
            </w:tcMar>
          </w:tcPr>
          <w:p>
            <w:pPr>
              <w:jc w:val="left"/>
            </w:pPr>
            <w:r>
              <w:rPr>
                <w:rFonts w:ascii="Times New Roman" w:hAnsi="Times New Roman"/>
                <w:color w:val="222222"/>
                <w:sz w:val="17"/>
              </w:rPr>
              <w:t>Displacement ([0, 1] for |phi|&gt;=0; [0, sqrt(2)] for signed)</w:t>
            </w:r>
          </w:p>
        </w:tc>
      </w:tr>
    </w:tbl>
    <w:p>
      <w:pPr>
        <w:spacing w:before="0" w:after="120"/>
      </w:pPr>
    </w:p>
    <w:p>
      <w:pPr>
        <w:keepNext/>
        <w:spacing w:before="200" w:after="60"/>
      </w:pPr>
      <w:r>
        <w:rPr>
          <w:rFonts w:ascii="Times New Roman" w:hAnsi="Times New Roman"/>
          <w:b/>
          <w:color w:val="134074"/>
          <w:sz w:val="22"/>
        </w:rPr>
        <w:t>1.7 Statistical Confounder Control &amp; Theoretical Chance Baselines</w:t>
      </w:r>
    </w:p>
    <w:p>
      <w:pPr>
        <w:spacing w:before="0" w:after="100" w:line="276" w:lineRule="auto"/>
        <w:jc w:val="both"/>
      </w:pPr>
      <w:r>
        <w:rPr>
          <w:rFonts w:ascii="Times New Roman" w:hAnsi="Times New Roman"/>
          <w:color w:val="222222"/>
          <w:sz w:val="20"/>
        </w:rPr>
        <w:t>Paired Hypothesis Testing: Because FP32 and INT8 variants evaluate the identical flows, statistical evaluation utilizes paired tests (two-sided Wilcoxon signed-rank tests) and capture-cluster bootstrap resampling (10,000 iterations) to derive rigorous 95% confidence intervals on per-flow attribution shifts, controlling for concurrent-flow dependence within capture sessions.</w:t>
      </w:r>
    </w:p>
    <w:p>
      <w:pPr>
        <w:spacing w:before="0" w:after="100" w:line="276" w:lineRule="auto"/>
        <w:jc w:val="both"/>
      </w:pPr>
      <w:r>
        <w:rPr>
          <w:rFonts w:ascii="Times New Roman" w:hAnsi="Times New Roman"/>
          <w:color w:val="222222"/>
          <w:sz w:val="20"/>
        </w:rPr>
        <w:t>Econometric Confounder Modeling with Interaction: To test whether sequence length affects attribution agreement differently across classes, multivariate OLS regressions include an explicit interaction term:</w:t>
      </w:r>
    </w:p>
    <w:p>
      <w:pPr>
        <w:tabs>
          <w:tab w:pos="9360" w:val="right"/>
        </w:tabs>
        <w:spacing w:before="80" w:after="100" w:line="276" w:lineRule="auto"/>
        <w:ind w:left="576"/>
      </w:pPr>
      <m:oMath>
        <m:sSub>
          <m:e>
            <m:r>
              <m:t>IoU</m:t>
            </m:r>
          </m:e>
          <m:sub>
            <m:r>
              <m:t>i</m:t>
            </m:r>
          </m:sub>
        </m:sSub>
        <m:r>
          <m:t> = </m:t>
        </m:r>
        <m:sSub>
          <m:e>
            <m:r>
              <m:t>β</m:t>
            </m:r>
          </m:e>
          <m:sub>
            <m:r>
              <m:t>0</m:t>
            </m:r>
          </m:sub>
        </m:sSub>
        <m:r>
          <m:t> + </m:t>
        </m:r>
        <m:sSub>
          <m:e>
            <m:r>
              <m:t>β</m:t>
            </m:r>
          </m:e>
          <m:sub>
            <m:r>
              <m:t>L</m:t>
            </m:r>
          </m:sub>
        </m:sSub>
        <m:r>
          <m:t> · </m:t>
        </m:r>
        <m:sSub>
          <m:e>
            <m:r>
              <m:t>L</m:t>
            </m:r>
          </m:e>
          <m:sub>
            <m:r>
              <m:t>i</m:t>
            </m:r>
          </m:sub>
        </m:sSub>
        <m:r>
          <m:t> + </m:t>
        </m:r>
        <m:sSub>
          <m:e>
            <m:r>
              <m:t>β</m:t>
            </m:r>
          </m:e>
          <m:sub>
            <m:r>
              <m:t>VPN</m:t>
            </m:r>
          </m:sub>
        </m:sSub>
        <m:r>
          <m:t> · </m:t>
        </m:r>
        <m:sSub>
          <m:e>
            <m:r>
              <m:t>y</m:t>
            </m:r>
          </m:e>
          <m:sub>
            <m:r>
              <m:t>i</m:t>
            </m:r>
          </m:sub>
        </m:sSub>
        <m:r>
          <m:t> + </m:t>
        </m:r>
        <m:sSub>
          <m:e>
            <m:r>
              <m:t>β</m:t>
            </m:r>
          </m:e>
          <m:sub>
            <m:r>
              <m:t>LV</m:t>
            </m:r>
          </m:sub>
        </m:sSub>
        <m:r>
          <m:t> · </m:t>
        </m:r>
        <m:d>
          <m:dPr>
            <m:begChr m:val="("/>
            <m:endChr m:val=")"/>
          </m:dPr>
          <m:e>
            <m:sSub>
              <m:e>
                <m:r>
                  <m:t>L</m:t>
                </m:r>
              </m:e>
              <m:sub>
                <m:r>
                  <m:t>i</m:t>
                </m:r>
              </m:sub>
            </m:sSub>
            <m:r>
              <m:t> · </m:t>
            </m:r>
            <m:sSub>
              <m:e>
                <m:r>
                  <m:t>y</m:t>
                </m:r>
              </m:e>
              <m:sub>
                <m:r>
                  <m:t>i</m:t>
                </m:r>
              </m:sub>
            </m:sSub>
          </m:e>
        </m:d>
        <m:r>
          <m:t> + </m:t>
        </m:r>
        <m:sSub>
          <m:e>
            <m:r>
              <m:t>ε</m:t>
            </m:r>
          </m:e>
          <m:sub>
            <m:r>
              <m:t>i</m:t>
            </m:r>
          </m:sub>
        </m:sSub>
      </m:oMath>
      <w:r>
        <w:rPr>
          <w:rFonts w:ascii="Times New Roman" w:hAnsi="Times New Roman"/>
          <w:b/>
          <w:color w:val="4A5568"/>
          <w:sz w:val="20"/>
        </w:rPr>
        <w:tab/>
        <w:t>(10)</w:t>
      </w:r>
    </w:p>
    <w:p>
      <w:pPr>
        <w:spacing w:before="0" w:after="100" w:line="276" w:lineRule="auto"/>
        <w:jc w:val="both"/>
      </w:pPr>
      <w:r>
        <w:rPr>
          <w:rFonts w:ascii="Times New Roman" w:hAnsi="Times New Roman"/>
          <w:color w:val="222222"/>
          <w:sz w:val="20"/>
        </w:rPr>
        <w:t>where y_i in {0, 1} denotes VPN status and beta_LV captures the interaction between length and protocol encapsulation. Standard errors are clustered at the raw PCAP capture level.</w:t>
      </w:r>
    </w:p>
    <w:p>
      <w:pPr>
        <w:spacing w:before="0" w:after="100" w:line="276" w:lineRule="auto"/>
        <w:jc w:val="both"/>
      </w:pPr>
      <w:r>
        <w:rPr>
          <w:rFonts w:ascii="Times New Roman" w:hAnsi="Times New Roman"/>
          <w:color w:val="222222"/>
          <w:sz w:val="20"/>
        </w:rPr>
        <w:t>Theoretical Hypergeometric Chance Baseline: To prove that observed attribution agreement exceeds trivial random subset selection as candidate feature pool M = 2L expands, empirical Top-k IoU is compared against the exact combinatorial expectation under random chance:</w:t>
      </w:r>
    </w:p>
    <w:p>
      <w:pPr>
        <w:tabs>
          <w:tab w:pos="9360" w:val="right"/>
        </w:tabs>
        <w:spacing w:before="80" w:after="100" w:line="276" w:lineRule="auto"/>
        <w:ind w:left="576"/>
      </w:pPr>
      <m:oMath>
        <m:r>
          <m:t>𝔼[</m:t>
        </m:r>
        <m:sSub>
          <m:e>
            <m:r>
              <m:t>IoU</m:t>
            </m:r>
          </m:e>
          <m:sub>
            <m:r>
              <m:t>chance</m:t>
            </m:r>
          </m:sub>
        </m:sSub>
        <m:r>
          <m:t>(M, k)] = </m:t>
        </m:r>
        <m:nary>
          <m:naryPr>
            <m:chr m:val="∑"/>
          </m:naryPr>
          <m:sub>
            <m:r>
              <m:t>x=x_min</m:t>
            </m:r>
          </m:sub>
          <m:sup>
            <m:r>
              <m:t>k</m:t>
            </m:r>
          </m:sup>
          <m:e>
            <m:d>
              <m:dPr>
                <m:begChr m:val="("/>
                <m:endChr m:val=")"/>
              </m:dPr>
              <m:e>
                <m:f>
                  <m:num>
                    <m:r>
                      <m:t>x</m:t>
                    </m:r>
                  </m:num>
                  <m:den>
                    <m:r>
                      <m:t>2k - x</m:t>
                    </m:r>
                  </m:den>
                </m:f>
              </m:e>
            </m:d>
            <m:r>
              <m:t> · </m:t>
            </m:r>
            <m:f>
              <m:num>
                <m:d>
                  <m:dPr>
                    <m:begChr m:val="("/>
                    <m:endChr m:val=")"/>
                  </m:dPr>
                  <m:e>
                    <m:f>
                      <m:num>
                        <m:r>
                          <m:t>k</m:t>
                        </m:r>
                      </m:num>
                      <m:den>
                        <m:r>
                          <m:t>x</m:t>
                        </m:r>
                      </m:den>
                    </m:f>
                  </m:e>
                </m:d>
                <m:r>
                  <m:t> · </m:t>
                </m:r>
                <m:d>
                  <m:dPr>
                    <m:begChr m:val="("/>
                    <m:endChr m:val=")"/>
                  </m:dPr>
                  <m:e>
                    <m:f>
                      <m:num>
                        <m:r>
                          <m:t>M - k</m:t>
                        </m:r>
                      </m:num>
                      <m:den>
                        <m:r>
                          <m:t>k - x</m:t>
                        </m:r>
                      </m:den>
                    </m:f>
                  </m:e>
                </m:d>
              </m:num>
              <m:den>
                <m:d>
                  <m:dPr>
                    <m:begChr m:val="("/>
                    <m:endChr m:val=")"/>
                  </m:dPr>
                  <m:e>
                    <m:f>
                      <m:num>
                        <m:r>
                          <m:t>M</m:t>
                        </m:r>
                      </m:num>
                      <m:den>
                        <m:r>
                          <m:t>k</m:t>
                        </m:r>
                      </m:den>
                    </m:f>
                  </m:e>
                </m:d>
              </m:den>
            </m:f>
          </m:e>
        </m:nary>
      </m:oMath>
      <w:r>
        <w:rPr>
          <w:rFonts w:ascii="Times New Roman" w:hAnsi="Times New Roman"/>
          <w:b/>
          <w:color w:val="4A5568"/>
          <w:sz w:val="20"/>
        </w:rPr>
        <w:tab/>
        <w:t>(11)</w:t>
      </w:r>
    </w:p>
    <w:p>
      <w:pPr>
        <w:spacing w:before="0" w:after="100" w:line="276" w:lineRule="auto"/>
        <w:jc w:val="both"/>
      </w:pPr>
      <w:r>
        <w:rPr>
          <w:rFonts w:ascii="Times New Roman" w:hAnsi="Times New Roman"/>
          <w:color w:val="222222"/>
          <w:sz w:val="20"/>
        </w:rPr>
        <w:t>Exact expectations (k = 5): L = 4 (M = 8): 0.4707; L = 10 (M = 20): 0.1546; L = 24 (M = 48): 0.0604; L = 64 (M = 128): 0.0220. A sequence-length-matched cohort (matching VPN to Non-VPN flows of identical active length) eliminates length as a confounding factor.</w:t>
      </w:r>
    </w:p>
    <w:p>
      <w:pPr>
        <w:keepNext/>
        <w:spacing w:before="280" w:after="80"/>
      </w:pPr>
      <w:r>
        <w:rPr>
          <w:rFonts w:ascii="Times New Roman" w:hAnsi="Times New Roman"/>
          <w:b/>
          <w:color w:val="0B2545"/>
          <w:sz w:val="26"/>
        </w:rPr>
        <w:t>2. QUALITATIVE METHODOLOGY</w:t>
      </w:r>
    </w:p>
    <w:p>
      <w:pPr>
        <w:keepNext/>
        <w:spacing w:before="200" w:after="60"/>
      </w:pPr>
      <w:r>
        <w:rPr>
          <w:rFonts w:ascii="Times New Roman" w:hAnsi="Times New Roman"/>
          <w:b/>
          <w:color w:val="134074"/>
          <w:sz w:val="22"/>
        </w:rPr>
        <w:t>2.1 Operational Threat Hypothesis: SIEM / SOAR &amp; Dynamic Rule Fragility</w:t>
      </w:r>
    </w:p>
    <w:p>
      <w:pPr>
        <w:spacing w:before="0" w:after="100" w:line="276" w:lineRule="auto"/>
        <w:jc w:val="both"/>
      </w:pPr>
      <w:r>
        <w:rPr>
          <w:rFonts w:ascii="Times New Roman" w:hAnsi="Times New Roman"/>
          <w:color w:val="222222"/>
          <w:sz w:val="20"/>
        </w:rPr>
        <w:t>Operational Context: In automated enterprise security environments, edge traffic classifiers forward detection alerts and top-ranked explanatory feature indices T_k(phi_INT8) to Security Orchestration, Automation, and Response (SOAR) playbooks. The playbook synthesizes dynamic perimeter firewall rules (e.g., iptables ACLs) targeting observed packet length ranges and rate limits:</w:t>
      </w:r>
    </w:p>
    <w:p>
      <w:pPr>
        <w:spacing w:before="0" w:after="100" w:line="276" w:lineRule="auto"/>
        <w:jc w:val="both"/>
      </w:pPr>
      <w:r>
        <w:rPr>
          <w:rFonts w:ascii="Times New Roman" w:hAnsi="Times New Roman"/>
          <w:color w:val="222222"/>
          <w:sz w:val="20"/>
        </w:rPr>
        <w:t xml:space="preserve">    iptables -A FORWARD -p tcp -m length --length 1420:1440 -m limit --limit 50/s -j DROP</w:t>
        <w:br/>
        <w:t xml:space="preserve">    iptables -A FORWARD -p udp -m length --length 175:185 -j REJECT</w:t>
      </w:r>
    </w:p>
    <w:p>
      <w:pPr>
        <w:spacing w:before="0" w:after="100" w:line="276" w:lineRule="auto"/>
        <w:jc w:val="both"/>
      </w:pPr>
      <w:r>
        <w:rPr>
          <w:rFonts w:ascii="Times New Roman" w:hAnsi="Times New Roman"/>
          <w:color w:val="222222"/>
          <w:sz w:val="20"/>
        </w:rPr>
        <w:t>Security Hypothesis: If attribution drift causes the INT8 model to explain decisions using arbitrary payload packet lengths (t &gt;= 4) rather than stable initial handshake features (t &lt; 4), the synthesized ACL signatures become brittle. An adversary can bypass the dynamically synthesized firewall rule through trivial packet-padding evasion without altering their underlying tunneling protocol. This operational failure is framed as a motivated security hypothesis, requiring controlled physical firewall injection experiments for live validation.</w:t>
      </w:r>
    </w:p>
    <w:p>
      <w:pPr>
        <w:keepNext/>
        <w:spacing w:before="200" w:after="60"/>
      </w:pPr>
      <w:r>
        <w:rPr>
          <w:rFonts w:ascii="Times New Roman" w:hAnsi="Times New Roman"/>
          <w:b/>
          <w:color w:val="134074"/>
          <w:sz w:val="22"/>
        </w:rPr>
        <w:t>2.2 Temporal Flow Attention Dynamics across Lifecycles</w:t>
      </w:r>
    </w:p>
    <w:p>
      <w:pPr>
        <w:spacing w:before="0" w:after="100" w:line="276" w:lineRule="auto"/>
        <w:jc w:val="both"/>
      </w:pPr>
      <w:r>
        <w:rPr>
          <w:rFonts w:ascii="Times New Roman" w:hAnsi="Times New Roman"/>
          <w:color w:val="222222"/>
          <w:sz w:val="20"/>
        </w:rPr>
        <w:t>Network flows exhibit temporal phase structure. Flow timelines are partitioned into two observational windows:</w:t>
      </w:r>
    </w:p>
    <w:p>
      <w:pPr>
        <w:spacing w:before="0" w:after="100" w:line="276" w:lineRule="auto"/>
        <w:jc w:val="both"/>
      </w:pPr>
      <w:r>
        <w:rPr>
          <w:rFonts w:ascii="Times New Roman" w:hAnsi="Times New Roman"/>
          <w:color w:val="222222"/>
          <w:sz w:val="20"/>
        </w:rPr>
        <w:t>1. Early Flow Window (t &lt; 4): Corresponds observationally to initial connection initiation, cipher negotiation, and handshake setup.</w:t>
        <w:br/>
        <w:t>2. Late Bulk Window (t &gt;= 4): Corresponds observationally to application data transfer, stream segments, and keep-alive packets through t = L - 1.</w:t>
      </w:r>
    </w:p>
    <w:p>
      <w:pPr>
        <w:spacing w:before="0" w:after="100" w:line="276" w:lineRule="auto"/>
        <w:jc w:val="both"/>
      </w:pPr>
      <w:r>
        <w:rPr>
          <w:rFonts w:ascii="Times New Roman" w:hAnsi="Times New Roman"/>
          <w:color w:val="222222"/>
          <w:sz w:val="20"/>
        </w:rPr>
        <w:t>The normalized relative early-phase attribution mass ratio is defined:</w:t>
      </w:r>
    </w:p>
    <w:p>
      <w:pPr>
        <w:spacing w:before="0" w:after="100" w:line="276" w:lineRule="auto"/>
        <w:jc w:val="both"/>
      </w:pPr>
      <w:r>
        <w:rPr>
          <w:rFonts w:ascii="Times New Roman" w:hAnsi="Times New Roman"/>
          <w:color w:val="222222"/>
          <w:sz w:val="20"/>
        </w:rPr>
        <w:t xml:space="preserve">    R_early = Omega_early / ( Omega_early + Omega_late ),   where Omega_early = sum_{t=0}^{min(3, L-1)} (|phi_{0,t}| + |phi_{1,t}|) and Omega_late = sum_{t=4}^{L-1} (|phi_{0,t}| + |phi_{1,t}|)</w:t>
      </w:r>
    </w:p>
    <w:p>
      <w:pPr>
        <w:spacing w:before="0" w:after="100" w:line="276" w:lineRule="auto"/>
        <w:jc w:val="both"/>
      </w:pPr>
      <w:r>
        <w:rPr>
          <w:rFonts w:ascii="Times New Roman" w:hAnsi="Times New Roman"/>
          <w:color w:val="222222"/>
          <w:sz w:val="20"/>
        </w:rPr>
        <w:t>This evaluates whether quantization induces macro-drift (abandoning the early handshake window entirely) or micro-drift (maintaining coarse early-phase concentration while permuting fine-grained packet rankings within the window).</w:t>
      </w:r>
    </w:p>
    <w:p>
      <w:pPr>
        <w:keepNext/>
        <w:spacing w:before="200" w:after="60"/>
      </w:pPr>
      <w:r>
        <w:rPr>
          <w:rFonts w:ascii="Times New Roman" w:hAnsi="Times New Roman"/>
          <w:b/>
          <w:color w:val="134074"/>
          <w:sz w:val="22"/>
        </w:rPr>
        <w:t>2.3 Application Archetype Profiling &amp; Granular Risk Assessment</w:t>
      </w:r>
    </w:p>
    <w:p>
      <w:pPr>
        <w:spacing w:before="0" w:after="100" w:line="276" w:lineRule="auto"/>
        <w:jc w:val="both"/>
      </w:pPr>
      <w:r>
        <w:rPr>
          <w:rFonts w:ascii="Times New Roman" w:hAnsi="Times New Roman"/>
          <w:color w:val="222222"/>
          <w:sz w:val="20"/>
        </w:rPr>
        <w:t>To characterize operational risk across diverse traffic modalities, flows are evaluated across four behavioral archetypes:</w:t>
      </w:r>
    </w:p>
    <w:p>
      <w:pPr>
        <w:spacing w:before="0" w:after="100" w:line="276" w:lineRule="auto"/>
        <w:jc w:val="both"/>
      </w:pPr>
      <w:r>
        <w:rPr>
          <w:rFonts w:ascii="Times New Roman" w:hAnsi="Times New Roman"/>
          <w:color w:val="222222"/>
          <w:sz w:val="20"/>
        </w:rPr>
        <w:t>1. Ephemeral Interactive Messaging &amp; VoIP: Short-lived control flows dominated by initial session establishment (L &lt;= 6). Restricted candidate search spaces preserve attribution profiles (high IoU).</w:t>
        <w:br/>
        <w:t>2. Persistent Bulk Data &amp; Peer-to-Peer Transfers: Prolonged bidirectional transmission pipelines (L -&gt; 64). Saliency disperses across long payload sequences, resulting in severe attribution degradation.</w:t>
        <w:br/>
        <w:t>3. Continuous Media Streaming: Periodic buffer-refill bursts where attribution redistributes across variable-length chunk downloads.</w:t>
        <w:br/>
        <w:t>4. Sample-Constrained Legacy Protocols: Protocols with low split-specific sample counts; reported with explicit confidence intervals to avoid over-generalizing from limited samples.</w:t>
      </w:r>
    </w:p>
    <w:p>
      <w:pPr>
        <w:keepNext/>
        <w:spacing w:before="200" w:after="60"/>
      </w:pPr>
      <w:r>
        <w:rPr>
          <w:rFonts w:ascii="Times New Roman" w:hAnsi="Times New Roman"/>
          <w:b/>
          <w:color w:val="134074"/>
          <w:sz w:val="22"/>
        </w:rPr>
        <w:t>2.4 Model Governance &amp; Dual-Fidelity Auditing Protocol</w:t>
      </w:r>
    </w:p>
    <w:p>
      <w:pPr>
        <w:spacing w:before="0" w:after="100" w:line="276" w:lineRule="auto"/>
        <w:jc w:val="both"/>
      </w:pPr>
      <w:r>
        <w:rPr>
          <w:rFonts w:ascii="Times New Roman" w:hAnsi="Times New Roman"/>
          <w:color w:val="222222"/>
          <w:sz w:val="20"/>
        </w:rPr>
        <w:t>Emerging statutory frameworks (EU AI Act Articles 13–14, GDPR Article 22) mandate technical transparency and human oversight for high-risk AI deployments. Current industry practice verifies quantization through a single gate: Predictive Task Fidelity (|Delta Acc| &lt;= 0.5%). This research operationalizes a Two-Gate Technical Auditing Protocol prior to edge firewall deployment:</w:t>
      </w:r>
    </w:p>
    <w:p>
      <w:pPr>
        <w:spacing w:before="160" w:after="160" w:line="276" w:lineRule="auto"/>
        <w:ind w:left="432" w:right="288"/>
        <w:pBdr>
          <w:left w:val="single" w:sz="24" w:space="12" w:color="0B2545"/>
        </w:pBdr>
        <w:shd w:fill="F8FAFC"/>
      </w:pPr>
      <w:r>
        <w:rPr>
          <w:rFonts w:ascii="Times New Roman" w:hAnsi="Times New Roman"/>
          <w:b/>
          <w:color w:val="0B2545"/>
          <w:sz w:val="20"/>
        </w:rPr>
        <w:t>The XDrift Dual-Fidelity Auditing Protocol</w:t>
        <w:br/>
      </w:r>
      <w:r>
        <w:rPr>
          <w:rFonts w:ascii="Times New Roman" w:hAnsi="Times New Roman"/>
          <w:i/>
          <w:color w:val="2D3748"/>
          <w:sz w:val="19"/>
        </w:rPr>
        <w:t>• Gate 1 (Predictive Task Fidelity): |Acc_FP32 - Acc_INT8| &lt;= 0.50%  and  Delta Recall_minority &lt;= 1.00%</w:t>
        <w:br/>
        <w:t>• Gate 2 (Attribution Fidelity): IoU_feat(phi_FP32, phi_INT8) &gt;= 0.70  and  rho(phi_FP32, phi_INT8) &gt;= 0.75</w:t>
        <w:br/>
        <w:t>Models failing Gate 2 are flagged for explanation instability, preventing the unverified deployment of compressed classifiers in automated defense environments.</w:t>
      </w:r>
    </w:p>
    <w:p>
      <w:pPr>
        <w:keepNext/>
        <w:spacing w:before="200" w:after="60"/>
      </w:pPr>
      <w:r>
        <w:rPr>
          <w:rFonts w:ascii="Times New Roman" w:hAnsi="Times New Roman"/>
          <w:b/>
          <w:color w:val="134074"/>
          <w:sz w:val="22"/>
        </w:rPr>
        <w:t>2.5 Stop/Go Execution Gates &amp; Reproducibility Package</w:t>
      </w:r>
    </w:p>
    <w:p>
      <w:pPr>
        <w:spacing w:before="0" w:after="100" w:line="276" w:lineRule="auto"/>
        <w:jc w:val="both"/>
      </w:pPr>
      <w:r>
        <w:rPr>
          <w:rFonts w:ascii="Times New Roman" w:hAnsi="Times New Roman"/>
          <w:color w:val="222222"/>
          <w:sz w:val="20"/>
        </w:rPr>
        <w:t>To guarantee scientific integrity and prevent carrying forward unverified assumptions, the experimental pipeline enforces seven sequential Stop/Go Gates:</w:t>
      </w:r>
    </w:p>
    <w:p>
      <w:pPr>
        <w:spacing w:before="0" w:after="100" w:line="276" w:lineRule="auto"/>
        <w:jc w:val="both"/>
      </w:pPr>
      <w:r>
        <w:rPr>
          <w:rFonts w:ascii="Times New Roman" w:hAnsi="Times New Roman"/>
          <w:color w:val="222222"/>
          <w:sz w:val="20"/>
        </w:rPr>
        <w:t>• Gate 1 (Data Integrity): Complete PCAP manifest; SHA-256 hashes verified; capture-level group partitioning confirms zero cross-split leakage.</w:t>
        <w:br/>
        <w:t>• Gate 2 (Feature Verification): Unit tests pass for signed packet length, normalized log-IAT, directionality, and zero-padding validity masks.</w:t>
        <w:br/>
        <w:t>• Gate 3 (Baseline Model): FP32 1D-CNN reproduces convergence across 5 independent seeds; operating threshold tau* is frozen on validation data.</w:t>
        <w:br/>
        <w:t>• Gate 4 (Quantization Conversion): PTQ calibration uses training data only; QAT fine-tuning graph compiles with verified integer kernels.</w:t>
        <w:br/>
        <w:t>• Gate 5 (Explainability Consistency): KernelSHAP queries FP32, PTQ, and QAT using identical background references and perturbation budgets.</w:t>
        <w:br/>
        <w:t>• Gate 6 (Statistical Replicability): Paired bootstrap confidence intervals and econometric regressions regenerate automatically from raw outputs.</w:t>
        <w:br/>
        <w:t>• Gate 7 (Claim Discipline): Every statement in the manuscript is strictly classified as a measured result, empirical correlation, or operational hypothesis.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A0AEC0"/>
        <w:sz w:val="17"/>
      </w:rPr>
      <w:t>RESEARCH METHODOLOGY PROTOCOL — NO LEGACY OUTCOMES ASSUMED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18096"/>
        <w:sz w:val="17"/>
      </w:rPr>
      <w:t>XDrift Research Protocol — Clean Starting-Over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