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B2545"/>
          <w:sz w:val="32"/>
        </w:rPr>
        <w:t>Investigating Attribution Drift in INT8-Quantized 1D CNNs for Encrypted Traffic Classification</w:t>
      </w:r>
    </w:p>
    <w:p>
      <w:pPr>
        <w:spacing w:before="0" w:after="200"/>
        <w:jc w:val="center"/>
      </w:pPr>
      <w:r>
        <w:rPr>
          <w:rFonts w:ascii="Times New Roman" w:hAnsi="Times New Roman"/>
          <w:i/>
          <w:color w:val="134074"/>
          <w:sz w:val="23"/>
        </w:rPr>
        <w:t>Comprehensive Research Methodology: Quantitative Empirical Formulations and Qualitative Operational Threat Modeling</w:t>
      </w:r>
    </w:p>
    <w:p>
      <w:pPr>
        <w:spacing w:before="0" w:after="240"/>
        <w:jc w:val="center"/>
      </w:pPr>
      <w:r>
        <w:rPr>
          <w:rFonts w:ascii="Times New Roman" w:hAnsi="Times New Roman"/>
          <w:b/>
          <w:sz w:val="22"/>
        </w:rPr>
        <w:t>Nur Nafis Fuad</w:t>
        <w:br/>
      </w:r>
      <w:r>
        <w:rPr>
          <w:rFonts w:ascii="Times New Roman" w:hAnsi="Times New Roman"/>
          <w:color w:val="4A5568"/>
          <w:sz w:val="19"/>
        </w:rPr>
        <w:t>Department of Electrical and Computer Engineering</w:t>
        <w:br/>
        <w:t>Rajshahi University of Engineering &amp; Technology (RUET), Bangladesh</w:t>
      </w:r>
    </w:p>
    <w:p>
      <w:pPr>
        <w:spacing w:before="120" w:after="240" w:line="276" w:lineRule="auto"/>
        <w:ind w:left="576" w:right="576"/>
        <w:jc w:val="both"/>
        <w:pBdr>
          <w:left w:val="single" w:sz="18" w:space="10" w:color="0B2545"/>
        </w:pBdr>
        <w:shd w:fill="F8FAFC"/>
      </w:pPr>
      <w:r>
        <w:rPr>
          <w:rFonts w:ascii="Times New Roman" w:hAnsi="Times New Roman"/>
          <w:b/>
          <w:color w:val="0B2545"/>
          <w:sz w:val="19"/>
        </w:rPr>
        <w:t>Abstract—</w:t>
      </w:r>
      <w:r>
        <w:rPr>
          <w:rFonts w:ascii="Times New Roman" w:hAnsi="Times New Roman"/>
          <w:color w:val="2D3748"/>
          <w:sz w:val="19"/>
        </w:rPr>
        <w:t>Quantization of deep neural networks to 8-bit integer (INT8) representation is essential for deploying encrypted traffic classifiers on silicon-constrained edge firewalls. While standard post-training quantization preserves macro predictive task metrics (F1-score degradation &lt;= 0.4%), its impact on internal explainability logic remains poorly characterized. This methodology defines the mathematical formulations, experimental protocols, and analytical workflows for investigating Attribution Drift: the systematic divergence of feature-attribution profiles between full-precision (FP32) and quantized (INT8) 1D Convolutional Neural Networks. The methodology is structured into two complementary sections: (1) Quantitative Methodology, specifying bidirectional flow extraction, multi-channel tensor featurization, exact 44,129-parameter network architecture, symmetric integer quantization arithmetic, perturbation-based KernelSHAP and path-integral Integrated Gradients explainer mechanics, tie-corrected rank statistics, econometric confounder regressions, and exact combinatorial chance baselines; and (2) Qualitative Methodology, formalizing operational threat cascades within automated SIEM/SOAR playbooks, dynamic firewall ACL synthesis, temporal attention migration across connection lifecycles, application archetype profiling, and a proposed Dual-Fidelity model governance auditing protocol.</w:t>
      </w:r>
    </w:p>
    <w:p>
      <w:pPr>
        <w:keepNext/>
        <w:spacing w:before="280" w:after="80"/>
      </w:pPr>
      <w:r>
        <w:rPr>
          <w:rFonts w:ascii="Times New Roman" w:hAnsi="Times New Roman"/>
          <w:b/>
          <w:color w:val="0B2545"/>
          <w:sz w:val="26"/>
        </w:rPr>
        <w:t>1. QUANTITATIVE METHODOLOGY</w:t>
      </w:r>
    </w:p>
    <w:p>
      <w:pPr>
        <w:keepNext/>
        <w:spacing w:before="200" w:after="60"/>
      </w:pPr>
      <w:r>
        <w:rPr>
          <w:rFonts w:ascii="Times New Roman" w:hAnsi="Times New Roman"/>
          <w:b/>
          <w:color w:val="134074"/>
          <w:sz w:val="22"/>
        </w:rPr>
        <w:t>1.1 Dataset Provenance &amp; Streaming Ingestion Pipeline</w:t>
      </w:r>
    </w:p>
    <w:p>
      <w:pPr>
        <w:spacing w:before="0" w:after="100" w:line="276" w:lineRule="auto"/>
        <w:jc w:val="both"/>
      </w:pPr>
      <w:r>
        <w:rPr>
          <w:rFonts w:ascii="Times New Roman" w:hAnsi="Times New Roman"/>
          <w:color w:val="222222"/>
          <w:sz w:val="20"/>
        </w:rPr>
        <w:t>Empirical Benchmark Selection &amp; Generalizability Boundary: Experiments are conducted on the benchmark ISCX VPN-NonVPN 2016 dataset, comprising 140 raw packet capture (PCAP) files totaling over 28 GB of mixed benign and encrypted network activity across diverse protocols (e.g., BitTorrent, FTPS, SFTP, Vimeo, YouTube, Netflix, Spotify, Facebook, Skype, Hangouts). The benchmark provides an open, reproducible foundation for encrypted-traffic classification research. We explicitly bound our empirical findings to this benchmark topology: establishing whether identical attribution drift manifestations emerge across contemporary modern protocols (e.g., QUIC, HTTP/3, Encrypted Client Hello, randomized padding, or unseen enterprise topologies) represents an external empirical research objective.</w:t>
      </w:r>
    </w:p>
    <w:p>
      <w:pPr>
        <w:spacing w:before="0" w:after="100" w:line="276" w:lineRule="auto"/>
        <w:jc w:val="both"/>
      </w:pPr>
      <w:r>
        <w:rPr>
          <w:rFonts w:ascii="Times New Roman" w:hAnsi="Times New Roman"/>
          <w:color w:val="222222"/>
          <w:sz w:val="20"/>
        </w:rPr>
        <w:t>Streaming Parallel Ingestion &amp; Canonical Flow Reassembly: To process multi-gigabyte continuous packet streams without memory exhaustion, an asynchronous pipeline is implemented utilizing Python's dpkt packet parsing engine integrated with concurrent.futures.ProcessPoolExecutor. Crucially, to preserve endpoint integrity during bidirectional flow matching, endpoint pairs E_1 = (IP_src, P_src) and E_2 = (IP_dst, P_dst) are canonicalized via complete lexicographical tuple comparison rather than sorting IP addresses and ports independently:</w:t>
      </w:r>
    </w:p>
    <w:p>
      <w:pPr>
        <w:tabs>
          <w:tab w:pos="9360" w:val="right"/>
        </w:tabs>
        <w:spacing w:before="80" w:after="100" w:line="276" w:lineRule="auto"/>
        <w:ind w:left="576"/>
      </w:pPr>
      <m:oMath>
        <m:r>
          <m:t>FlowKey = </m:t>
        </m:r>
        <m:d>
          <m:dPr>
            <m:begChr m:val="("/>
            <m:endChr m:val=")"/>
          </m:dPr>
          <m:e>
            <m:sSub>
              <m:e>
                <m:r>
                  <m:t>min</m:t>
                </m:r>
              </m:e>
              <m:sub>
                <m:r>
                  <m:t>lex</m:t>
                </m:r>
              </m:sub>
            </m:sSub>
            <m:d>
              <m:dPr>
                <m:begChr m:val="("/>
                <m:endChr m:val=")"/>
              </m:dPr>
              <m:e>
                <m:sSub>
                  <m:e>
                    <m:r>
                      <m:t>E</m:t>
                    </m:r>
                  </m:e>
                  <m:sub>
                    <m:r>
                      <m:t>1</m:t>
                    </m:r>
                  </m:sub>
                </m:sSub>
                <m:r>
                  <m:t>, </m:t>
                </m:r>
                <m:sSub>
                  <m:e>
                    <m:r>
                      <m:t>E</m:t>
                    </m:r>
                  </m:e>
                  <m:sub>
                    <m:r>
                      <m:t>2</m:t>
                    </m:r>
                  </m:sub>
                </m:sSub>
              </m:e>
            </m:d>
            <m:r>
              <m:t>, </m:t>
            </m:r>
            <m:sSub>
              <m:e>
                <m:r>
                  <m:t>max</m:t>
                </m:r>
              </m:e>
              <m:sub>
                <m:r>
                  <m:t>lex</m:t>
                </m:r>
              </m:sub>
            </m:sSub>
            <m:d>
              <m:dPr>
                <m:begChr m:val="("/>
                <m:endChr m:val=")"/>
              </m:dPr>
              <m:e>
                <m:sSub>
                  <m:e>
                    <m:r>
                      <m:t>E</m:t>
                    </m:r>
                  </m:e>
                  <m:sub>
                    <m:r>
                      <m:t>1</m:t>
                    </m:r>
                  </m:sub>
                </m:sSub>
                <m:r>
                  <m:t>, </m:t>
                </m:r>
                <m:sSub>
                  <m:e>
                    <m:r>
                      <m:t>E</m:t>
                    </m:r>
                  </m:e>
                  <m:sub>
                    <m:r>
                      <m:t>2</m:t>
                    </m:r>
                  </m:sub>
                </m:sSub>
              </m:e>
            </m:d>
            <m:r>
              <m:t>,  Protocol</m:t>
            </m:r>
          </m:e>
        </m:d>
      </m:oMath>
      <w:r>
        <w:rPr>
          <w:rFonts w:ascii="Times New Roman" w:hAnsi="Times New Roman"/>
          <w:b/>
          <w:color w:val="4A5568"/>
          <w:sz w:val="20"/>
        </w:rPr>
        <w:tab/>
        <w:t>(1)</w:t>
      </w:r>
    </w:p>
    <w:p>
      <w:pPr>
        <w:spacing w:before="0" w:after="100" w:line="276" w:lineRule="auto"/>
        <w:jc w:val="both"/>
      </w:pPr>
      <w:r>
        <w:rPr>
          <w:rFonts w:ascii="Times New Roman" w:hAnsi="Times New Roman"/>
          <w:color w:val="222222"/>
          <w:sz w:val="20"/>
        </w:rPr>
        <w:t>where min_lex and max_lex enforce strict lexicographic ordering over the paired address-port structures: if (IP_src, P_src) &lt; (IP_dst, P_dst), the forward transmission direction is designated d_t = +1; otherwise d_t = -1. TCP and UDP packets are parsed symmetrically, with an inactivity timeout of Delta_t_inactive = 120 seconds segmenting distinct conversational flows. Packets lacking valid transport-layer headers are discarded. Across the 140 raw captures, the pipeline extracts exactly 55,498 valid bidirectional network flows.</w:t>
      </w:r>
    </w:p>
    <w:p>
      <w:pPr>
        <w:keepNext/>
        <w:spacing w:before="200" w:after="60"/>
      </w:pPr>
      <w:r>
        <w:rPr>
          <w:rFonts w:ascii="Times New Roman" w:hAnsi="Times New Roman"/>
          <w:b/>
          <w:color w:val="134074"/>
          <w:sz w:val="22"/>
        </w:rPr>
        <w:t>1.2 Behavioral Feature Engineering &amp; Tensor Formulation</w:t>
      </w:r>
    </w:p>
    <w:p>
      <w:pPr>
        <w:spacing w:before="0" w:after="100" w:line="276" w:lineRule="auto"/>
        <w:jc w:val="both"/>
      </w:pPr>
      <w:r>
        <w:rPr>
          <w:rFonts w:ascii="Times New Roman" w:hAnsi="Times New Roman"/>
          <w:color w:val="222222"/>
          <w:sz w:val="20"/>
        </w:rPr>
        <w:t>Because modern cryptographic protocols (e.g., TLS 1.3, QUIC, WireGuard) employ authenticated ciphers that restrict Deep Packet Inspection (DPI) of application payloads, network security monitoring increasingly relies on transport-layer behavioral metadata. Each flow is transformed into a standardized two-channel numerical tensor X in R^{2 x 64}, capturing the sequence of the first N = 64 packets:</w:t>
      </w:r>
    </w:p>
    <w:p>
      <w:pPr>
        <w:spacing w:before="0" w:after="100" w:line="276" w:lineRule="auto"/>
        <w:jc w:val="both"/>
      </w:pPr>
      <w:r>
        <w:rPr>
          <w:rFonts w:ascii="Times New Roman" w:hAnsi="Times New Roman"/>
          <w:color w:val="222222"/>
          <w:sz w:val="20"/>
        </w:rPr>
        <w:t>1. Channel 0: Normalized Directional Captured Packet Length (X_{0, t}): Represents the captured raw Ethernet frame wire length S_t in bytes (as reported by the packet capture layer), signed by transmission directionality d_t in {-1, +1} and normalized by the standard Ethernet Maximum Transmission Unit (MTU = 1500 bytes). Observations are explicitly bounded to [-1.0, 1.0] via numerical clamping, gracefully handling any anomalous frames or loopback jumbograms while preserving wire-level frame boundaries:</w:t>
      </w:r>
    </w:p>
    <w:p>
      <w:pPr>
        <w:tabs>
          <w:tab w:pos="9360" w:val="right"/>
        </w:tabs>
        <w:spacing w:before="80" w:after="100" w:line="276" w:lineRule="auto"/>
        <w:ind w:left="576"/>
      </w:pPr>
      <m:oMath>
        <m:sSub>
          <m:e>
            <m:r>
              <m:t>X</m:t>
            </m:r>
          </m:e>
          <m:sub>
            <m:r>
              <m:t>0, t</m:t>
            </m:r>
          </m:sub>
        </m:sSub>
        <m:r>
          <m:t> = </m:t>
        </m:r>
        <m:sSub>
          <m:e>
            <m:r>
              <m:t>d</m:t>
            </m:r>
          </m:e>
          <m:sub>
            <m:r>
              <m:t>t</m:t>
            </m:r>
          </m:sub>
        </m:sSub>
        <m:r>
          <m:t> · clip</m:t>
        </m:r>
        <m:d>
          <m:dPr>
            <m:begChr m:val="("/>
            <m:endChr m:val=")"/>
          </m:dPr>
          <m:e>
            <m:f>
              <m:num>
                <m:sSub>
                  <m:e>
                    <m:r>
                      <m:t>S</m:t>
                    </m:r>
                  </m:e>
                  <m:sub>
                    <m:r>
                      <m:t>t</m:t>
                    </m:r>
                  </m:sub>
                </m:sSub>
              </m:num>
              <m:den>
                <m:r>
                  <m:t>1500</m:t>
                </m:r>
              </m:den>
            </m:f>
            <m:r>
              <m:t>,  0,  1</m:t>
            </m:r>
          </m:e>
        </m:d>
        <m:r>
          <m:t>,    </m:t>
        </m:r>
        <m:sSub>
          <m:e>
            <m:r>
              <m:t>d</m:t>
            </m:r>
          </m:e>
          <m:sub>
            <m:r>
              <m:t>t</m:t>
            </m:r>
          </m:sub>
        </m:sSub>
        <m:r>
          <m:t> ∈ {-1,  +1}</m:t>
        </m:r>
      </m:oMath>
      <w:r>
        <w:rPr>
          <w:rFonts w:ascii="Times New Roman" w:hAnsi="Times New Roman"/>
          <w:b/>
          <w:color w:val="4A5568"/>
          <w:sz w:val="20"/>
        </w:rPr>
        <w:tab/>
        <w:t>(2)</w:t>
      </w:r>
    </w:p>
    <w:p>
      <w:pPr>
        <w:spacing w:before="0" w:after="100" w:line="276" w:lineRule="auto"/>
        <w:jc w:val="both"/>
      </w:pPr>
      <w:r>
        <w:rPr>
          <w:rFonts w:ascii="Times New Roman" w:hAnsi="Times New Roman"/>
          <w:color w:val="222222"/>
          <w:sz w:val="20"/>
        </w:rPr>
        <w:t>2. Channel 1: Log-Scaled Inter-Arrival Time (X_{1, t}): Encodes the chronological arrival interval Delta_T_t = t_t - t_{t-1} in seconds between consecutive packets. To compress multi-order-of-magnitude dynamic ranges and neutralize keep-alive idle timeouts, arrival intervals are clamped at 5.0 seconds and transformed via common base-10 logarithm: X_{1, t} = log10(1 + clip(Delta_T_t, 0, 5.0)), yielding a bounded numerical range [0.0, log10(6.0)] ≈ [0.0, 0.7781]. For the initial flow packet (t = 0), inter-arrival latency is explicitly defined relative to flow inception as Delta_T_0 ≡ 0.0 seconds, yielding X_{1, 0} = 0.0:</w:t>
      </w:r>
    </w:p>
    <w:p>
      <w:pPr>
        <w:tabs>
          <w:tab w:pos="9360" w:val="right"/>
        </w:tabs>
        <w:spacing w:before="80" w:after="100" w:line="276" w:lineRule="auto"/>
        <w:ind w:left="576"/>
      </w:pPr>
      <m:oMath>
        <m:sSub>
          <m:e>
            <m:r>
              <m:t>X</m:t>
            </m:r>
          </m:e>
          <m:sub>
            <m:r>
              <m:t>1, t</m:t>
            </m:r>
          </m:sub>
        </m:sSub>
        <m:r>
          <m:t> = </m:t>
        </m:r>
        <m:sSub>
          <m:e>
            <m:r>
              <m:t>log</m:t>
            </m:r>
          </m:e>
          <m:sub>
            <m:r>
              <m:t>10</m:t>
            </m:r>
          </m:sub>
        </m:sSub>
        <m:d>
          <m:dPr>
            <m:begChr m:val="("/>
            <m:endChr m:val=")"/>
          </m:dPr>
          <m:e>
            <m:r>
              <m:t>1 + clip</m:t>
            </m:r>
            <m:d>
              <m:dPr>
                <m:begChr m:val="("/>
                <m:endChr m:val=")"/>
              </m:dPr>
              <m:e>
                <m:sSub>
                  <m:e>
                    <m:r>
                      <m:t>ΔT</m:t>
                    </m:r>
                  </m:e>
                  <m:sub>
                    <m:r>
                      <m:t>t</m:t>
                    </m:r>
                  </m:sub>
                </m:sSub>
                <m:r>
                  <m:t>,  0,  5.0</m:t>
                </m:r>
              </m:e>
            </m:d>
          </m:e>
        </m:d>
        <m:r>
          <m:t>,    </m:t>
        </m:r>
        <m:sSub>
          <m:e>
            <m:r>
              <m:t>ΔT</m:t>
            </m:r>
          </m:e>
          <m:sub>
            <m:r>
              <m:t>0</m:t>
            </m:r>
          </m:sub>
        </m:sSub>
        <m:r>
          <m:t> ≡ 0.0 s</m:t>
        </m:r>
      </m:oMath>
      <w:r>
        <w:rPr>
          <w:rFonts w:ascii="Times New Roman" w:hAnsi="Times New Roman"/>
          <w:b/>
          <w:color w:val="4A5568"/>
          <w:sz w:val="20"/>
        </w:rPr>
        <w:tab/>
        <w:t>(3)</w:t>
      </w:r>
    </w:p>
    <w:p>
      <w:pPr>
        <w:spacing w:before="0" w:after="100" w:line="276" w:lineRule="auto"/>
        <w:jc w:val="both"/>
      </w:pPr>
      <w:r>
        <w:rPr>
          <w:rFonts w:ascii="Times New Roman" w:hAnsi="Times New Roman"/>
          <w:color w:val="222222"/>
          <w:sz w:val="20"/>
        </w:rPr>
        <w:t>3. Zero-Padding &amp; Observational Validity Masking: Flows terminating prior to 64 packets (sequence length L &lt; 64) are right-padded with zeros (X_{:, t} = [0.0, 0.0]^T for t &gt;= L). An observational validity mask M in {0, 1}^64 records observed packet slots:</w:t>
      </w:r>
    </w:p>
    <w:p>
      <w:pPr>
        <w:tabs>
          <w:tab w:pos="9360" w:val="right"/>
        </w:tabs>
        <w:spacing w:before="80" w:after="100" w:line="276" w:lineRule="auto"/>
        <w:ind w:left="576"/>
      </w:pPr>
      <m:oMath>
        <m:sSub>
          <m:e>
            <m:r>
              <m:t>M</m:t>
            </m:r>
          </m:e>
          <m:sub>
            <m:r>
              <m:t>t</m:t>
            </m:r>
          </m:sub>
        </m:sSub>
        <m:r>
          <m:t> = </m:t>
        </m:r>
        <m:d>
          <m:dPr>
            <m:begChr m:val="{"/>
            <m:endChr m:val=""/>
          </m:dPr>
          <m:e>
            <m:eqArr>
              <m:e>
                <m:r>
                  <m:t>1,    if  t &lt; L  (observed packet)</m:t>
                </m:r>
              </m:e>
              <m:e>
                <m:r>
                  <m:t>0,    if  t ≥ L  (zero-padded slot)</m:t>
                </m:r>
              </m:e>
            </m:eqArr>
          </m:e>
        </m:d>
      </m:oMath>
      <w:r>
        <w:rPr>
          <w:rFonts w:ascii="Times New Roman" w:hAnsi="Times New Roman"/>
          <w:b/>
          <w:color w:val="4A5568"/>
          <w:sz w:val="20"/>
        </w:rPr>
        <w:tab/>
        <w:t>(4)</w:t>
      </w:r>
    </w:p>
    <w:p>
      <w:pPr>
        <w:spacing w:before="160" w:after="160" w:line="276" w:lineRule="auto"/>
        <w:ind w:left="432" w:right="288"/>
        <w:pBdr>
          <w:left w:val="single" w:sz="24" w:space="12" w:color="0B2545"/>
        </w:pBdr>
        <w:shd w:fill="F8FAFC"/>
      </w:pPr>
      <w:r>
        <w:rPr>
          <w:rFonts w:ascii="Times New Roman" w:hAnsi="Times New Roman"/>
          <w:b/>
          <w:color w:val="0B2545"/>
          <w:sz w:val="20"/>
        </w:rPr>
        <w:t>Methodological Note on Masking Semantics</w:t>
        <w:br/>
      </w:r>
      <w:r>
        <w:rPr>
          <w:rFonts w:ascii="Times New Roman" w:hAnsi="Times New Roman"/>
          <w:i/>
          <w:color w:val="2D3748"/>
          <w:sz w:val="19"/>
        </w:rPr>
        <w:t>It is vital to distinguish observational validity from model dependence. Padded zero-values do not represent game-theoretic null players within a convolutional neural network, because multi-layer receptive fields and batch normalization statistics allow zero-valued slots to influence neighboring representations. Masking inactive positions (t &gt;= L) during attribution evaluation is strictly an observational reporting convention designed to prevent artificial rank inflation on unobserved temporal slots.</w:t>
      </w:r>
    </w:p>
    <w:p>
      <w:pPr>
        <w:spacing w:before="0" w:after="100" w:line="276" w:lineRule="auto"/>
        <w:jc w:val="both"/>
      </w:pPr>
      <w:r>
        <w:rPr>
          <w:rFonts w:ascii="Times New Roman" w:hAnsi="Times New Roman"/>
          <w:color w:val="222222"/>
          <w:sz w:val="20"/>
        </w:rPr>
        <w:t>Dataset Partitioning and Generalization Evaluation: The dataset contains 53,019 Non-VPN flows (95.53%) and 2,479 VPN flows (4.47%), establishing a severe 21.39:1 class imbalance ratio. To balance comparability with prior literature against methodological rigor, two distinct evaluation partition schemes are formulated:</w:t>
      </w:r>
    </w:p>
    <w:p>
      <w:pPr>
        <w:spacing w:before="0" w:after="100" w:line="276" w:lineRule="auto"/>
        <w:jc w:val="both"/>
      </w:pPr>
      <w:r>
        <w:rPr>
          <w:rFonts w:ascii="Times New Roman" w:hAnsi="Times New Roman"/>
          <w:color w:val="222222"/>
          <w:sz w:val="20"/>
        </w:rPr>
        <w:t>• Evaluation A (Benchmark Stratified Partitioning): The entire corpus is partitioned using flow-level stratified splitting across both class labels and application types into a 70% training set (38,848 flows), a 15% validation set (8,325 flows), and a 15% test set (8,325 flows), as summarized in Table I. This protocol replicates established benchmarks in encrypted-traffic classification for direct baseline comparison.</w:t>
      </w:r>
    </w:p>
    <w:p>
      <w:pPr>
        <w:spacing w:before="0" w:after="100" w:line="276" w:lineRule="auto"/>
        <w:jc w:val="both"/>
      </w:pPr>
      <w:r>
        <w:rPr>
          <w:rFonts w:ascii="Times New Roman" w:hAnsi="Times New Roman"/>
          <w:color w:val="222222"/>
          <w:sz w:val="20"/>
        </w:rPr>
        <w:t>• Evaluation B (Capture-Grouped Partitioning / GroupKFold): To evaluate potential cross-session capture correlation and session leakage, a secondary capture-aware partition groups flows strictly by raw PCAP source file. Entire capture sessions are held out from training, enforcing that validation and test flows originate from independent network capture sessions. This bounds leakage and tests true cross-capture attribution stability.</w:t>
      </w:r>
    </w:p>
    <w:p>
      <w:pPr>
        <w:keepNext/>
        <w:spacing w:before="160" w:after="40"/>
      </w:pPr>
      <w:r>
        <w:rPr>
          <w:rFonts w:ascii="Times New Roman" w:hAnsi="Times New Roman"/>
          <w:b/>
          <w:color w:val="0B2545"/>
          <w:sz w:val="19"/>
        </w:rPr>
        <w:t>TABLE I: DATASET PARTITIONING AND STRATIFIED CLASS DISTRIBUTION</w:t>
      </w:r>
    </w:p>
    <w:tbl>
      <w:tblPr>
        <w:tblW w:type="auto" w:w="0"/>
        <w:jc w:val="center"/>
        <w:tblLayout w:type="fixed"/>
        <w:tblLook w:firstColumn="1" w:firstRow="1" w:lastColumn="0" w:lastRow="0" w:noHBand="0" w:noVBand="1" w:val="04A0"/>
        <w:tblBorders>
          <w:top w:val="single" w:sz="12" w:space="0" w:color="0B2545"/>
          <w:bottom w:val="single" w:sz="12" w:space="0" w:color="0B2545"/>
          <w:insideH w:val="single" w:sz="4" w:space="0" w:color="CBD5E1"/>
          <w:insideV w:val="none"/>
          <w:left w:val="none"/>
          <w:right w:val="none"/>
        </w:tblBorders>
      </w:tblPr>
      <w:tblGrid>
        <w:gridCol w:w="1872"/>
        <w:gridCol w:w="1872"/>
        <w:gridCol w:w="1872"/>
        <w:gridCol w:w="1872"/>
        <w:gridCol w:w="1872"/>
      </w:tblGrid>
      <w:tr>
        <w:tc>
          <w:tcPr>
            <w:tcW w:type="dxa" w:w="2160"/>
            <w:tcMar>
              <w:top w:w="90" w:type="dxa"/>
              <w:bottom w:w="90" w:type="dxa"/>
              <w:left w:w="120" w:type="dxa"/>
              <w:right w:w="120" w:type="dxa"/>
            </w:tcMar>
            <w:shd w:fill="F0F4F8"/>
          </w:tcPr>
          <w:p>
            <w:pPr>
              <w:spacing w:before="0" w:after="0"/>
              <w:jc w:val="center"/>
            </w:pPr>
            <w:r>
              <w:rPr>
                <w:rFonts w:ascii="Times New Roman" w:hAnsi="Times New Roman"/>
                <w:b/>
                <w:color w:val="0B2545"/>
                <w:sz w:val="18"/>
              </w:rPr>
              <w:t>Partition Split</w:t>
            </w:r>
          </w:p>
        </w:tc>
        <w:tc>
          <w:tcPr>
            <w:tcW w:type="dxa" w:w="1872"/>
            <w:tcMar>
              <w:top w:w="90" w:type="dxa"/>
              <w:bottom w:w="90" w:type="dxa"/>
              <w:left w:w="120" w:type="dxa"/>
              <w:right w:w="120" w:type="dxa"/>
            </w:tcMar>
            <w:shd w:fill="F0F4F8"/>
          </w:tcPr>
          <w:p>
            <w:pPr>
              <w:spacing w:before="0" w:after="0"/>
              <w:jc w:val="center"/>
            </w:pPr>
            <w:r>
              <w:rPr>
                <w:rFonts w:ascii="Times New Roman" w:hAnsi="Times New Roman"/>
                <w:b/>
                <w:color w:val="0B2545"/>
                <w:sz w:val="18"/>
              </w:rPr>
              <w:t>Non-VPN Flows</w:t>
            </w:r>
          </w:p>
        </w:tc>
        <w:tc>
          <w:tcPr>
            <w:tcW w:type="dxa" w:w="1584"/>
            <w:tcMar>
              <w:top w:w="90" w:type="dxa"/>
              <w:bottom w:w="90" w:type="dxa"/>
              <w:left w:w="120" w:type="dxa"/>
              <w:right w:w="120" w:type="dxa"/>
            </w:tcMar>
            <w:shd w:fill="F0F4F8"/>
          </w:tcPr>
          <w:p>
            <w:pPr>
              <w:spacing w:before="0" w:after="0"/>
              <w:jc w:val="center"/>
            </w:pPr>
            <w:r>
              <w:rPr>
                <w:rFonts w:ascii="Times New Roman" w:hAnsi="Times New Roman"/>
                <w:b/>
                <w:color w:val="0B2545"/>
                <w:sz w:val="18"/>
              </w:rPr>
              <w:t>VPN Flows</w:t>
            </w:r>
          </w:p>
        </w:tc>
        <w:tc>
          <w:tcPr>
            <w:tcW w:type="dxa" w:w="1872"/>
            <w:tcMar>
              <w:top w:w="90" w:type="dxa"/>
              <w:bottom w:w="90" w:type="dxa"/>
              <w:left w:w="120" w:type="dxa"/>
              <w:right w:w="120" w:type="dxa"/>
            </w:tcMar>
            <w:shd w:fill="F0F4F8"/>
          </w:tcPr>
          <w:p>
            <w:pPr>
              <w:spacing w:before="0" w:after="0"/>
              <w:jc w:val="center"/>
            </w:pPr>
            <w:r>
              <w:rPr>
                <w:rFonts w:ascii="Times New Roman" w:hAnsi="Times New Roman"/>
                <w:b/>
                <w:color w:val="0B2545"/>
                <w:sz w:val="18"/>
              </w:rPr>
              <w:t>Total Flows</w:t>
            </w:r>
          </w:p>
        </w:tc>
        <w:tc>
          <w:tcPr>
            <w:tcW w:type="dxa" w:w="1872"/>
            <w:tcMar>
              <w:top w:w="90" w:type="dxa"/>
              <w:bottom w:w="90" w:type="dxa"/>
              <w:left w:w="120" w:type="dxa"/>
              <w:right w:w="120" w:type="dxa"/>
            </w:tcMar>
            <w:shd w:fill="F0F4F8"/>
          </w:tcPr>
          <w:p>
            <w:pPr>
              <w:spacing w:before="0" w:after="0"/>
              <w:jc w:val="center"/>
            </w:pPr>
            <w:r>
              <w:rPr>
                <w:rFonts w:ascii="Times New Roman" w:hAnsi="Times New Roman"/>
                <w:b/>
                <w:color w:val="0B2545"/>
                <w:sz w:val="18"/>
              </w:rPr>
              <w:t>Proportion (%)</w:t>
            </w:r>
          </w:p>
        </w:tc>
      </w:tr>
      <w:tr>
        <w:tc>
          <w:tcPr>
            <w:tcW w:type="dxa" w:w="2160"/>
            <w:tcMar>
              <w:top w:w="70" w:type="dxa"/>
              <w:bottom w:w="70" w:type="dxa"/>
              <w:left w:w="120" w:type="dxa"/>
              <w:right w:w="120" w:type="dxa"/>
            </w:tcMar>
          </w:tcPr>
          <w:p>
            <w:pPr>
              <w:spacing w:before="0" w:after="0"/>
              <w:jc w:val="left"/>
            </w:pPr>
            <w:r>
              <w:rPr>
                <w:rFonts w:ascii="Times New Roman" w:hAnsi="Times New Roman"/>
                <w:color w:val="222222"/>
                <w:sz w:val="18"/>
              </w:rPr>
              <w:t>Training Set</w:t>
            </w:r>
          </w:p>
        </w:tc>
        <w:tc>
          <w:tcPr>
            <w:tcW w:type="dxa" w:w="1872"/>
            <w:tcMar>
              <w:top w:w="70" w:type="dxa"/>
              <w:bottom w:w="70" w:type="dxa"/>
              <w:left w:w="120" w:type="dxa"/>
              <w:right w:w="120" w:type="dxa"/>
            </w:tcMar>
          </w:tcPr>
          <w:p>
            <w:pPr>
              <w:spacing w:before="0" w:after="0"/>
              <w:jc w:val="center"/>
            </w:pPr>
            <w:r>
              <w:rPr>
                <w:rFonts w:ascii="Times New Roman" w:hAnsi="Times New Roman"/>
                <w:color w:val="222222"/>
                <w:sz w:val="18"/>
              </w:rPr>
              <w:t>37,115</w:t>
            </w:r>
          </w:p>
        </w:tc>
        <w:tc>
          <w:tcPr>
            <w:tcW w:type="dxa" w:w="1584"/>
            <w:tcMar>
              <w:top w:w="70" w:type="dxa"/>
              <w:bottom w:w="70" w:type="dxa"/>
              <w:left w:w="120" w:type="dxa"/>
              <w:right w:w="120" w:type="dxa"/>
            </w:tcMar>
          </w:tcPr>
          <w:p>
            <w:pPr>
              <w:spacing w:before="0" w:after="0"/>
              <w:jc w:val="center"/>
            </w:pPr>
            <w:r>
              <w:rPr>
                <w:rFonts w:ascii="Times New Roman" w:hAnsi="Times New Roman"/>
                <w:color w:val="222222"/>
                <w:sz w:val="18"/>
              </w:rPr>
              <w:t>1,733</w:t>
            </w:r>
          </w:p>
        </w:tc>
        <w:tc>
          <w:tcPr>
            <w:tcW w:type="dxa" w:w="1872"/>
            <w:tcMar>
              <w:top w:w="70" w:type="dxa"/>
              <w:bottom w:w="70" w:type="dxa"/>
              <w:left w:w="120" w:type="dxa"/>
              <w:right w:w="120" w:type="dxa"/>
            </w:tcMar>
          </w:tcPr>
          <w:p>
            <w:pPr>
              <w:spacing w:before="0" w:after="0"/>
              <w:jc w:val="center"/>
            </w:pPr>
            <w:r>
              <w:rPr>
                <w:rFonts w:ascii="Times New Roman" w:hAnsi="Times New Roman"/>
                <w:color w:val="222222"/>
                <w:sz w:val="18"/>
              </w:rPr>
              <w:t>38,848</w:t>
            </w:r>
          </w:p>
        </w:tc>
        <w:tc>
          <w:tcPr>
            <w:tcW w:type="dxa" w:w="1872"/>
            <w:tcMar>
              <w:top w:w="70" w:type="dxa"/>
              <w:bottom w:w="70" w:type="dxa"/>
              <w:left w:w="120" w:type="dxa"/>
              <w:right w:w="120" w:type="dxa"/>
            </w:tcMar>
          </w:tcPr>
          <w:p>
            <w:pPr>
              <w:spacing w:before="0" w:after="0"/>
              <w:jc w:val="center"/>
            </w:pPr>
            <w:r>
              <w:rPr>
                <w:rFonts w:ascii="Times New Roman" w:hAnsi="Times New Roman"/>
                <w:color w:val="222222"/>
                <w:sz w:val="18"/>
              </w:rPr>
              <w:t>70.00%</w:t>
            </w:r>
          </w:p>
        </w:tc>
      </w:tr>
      <w:tr>
        <w:tc>
          <w:tcPr>
            <w:tcW w:type="dxa" w:w="2160"/>
            <w:tcMar>
              <w:top w:w="70" w:type="dxa"/>
              <w:bottom w:w="70" w:type="dxa"/>
              <w:left w:w="120" w:type="dxa"/>
              <w:right w:w="120" w:type="dxa"/>
            </w:tcMar>
          </w:tcPr>
          <w:p>
            <w:pPr>
              <w:spacing w:before="0" w:after="0"/>
              <w:jc w:val="left"/>
            </w:pPr>
            <w:r>
              <w:rPr>
                <w:rFonts w:ascii="Times New Roman" w:hAnsi="Times New Roman"/>
                <w:color w:val="222222"/>
                <w:sz w:val="18"/>
              </w:rPr>
              <w:t>Validation Set</w:t>
            </w:r>
          </w:p>
        </w:tc>
        <w:tc>
          <w:tcPr>
            <w:tcW w:type="dxa" w:w="1872"/>
            <w:tcMar>
              <w:top w:w="70" w:type="dxa"/>
              <w:bottom w:w="70" w:type="dxa"/>
              <w:left w:w="120" w:type="dxa"/>
              <w:right w:w="120" w:type="dxa"/>
            </w:tcMar>
          </w:tcPr>
          <w:p>
            <w:pPr>
              <w:spacing w:before="0" w:after="0"/>
              <w:jc w:val="center"/>
            </w:pPr>
            <w:r>
              <w:rPr>
                <w:rFonts w:ascii="Times New Roman" w:hAnsi="Times New Roman"/>
                <w:color w:val="222222"/>
                <w:sz w:val="18"/>
              </w:rPr>
              <w:t>7,952</w:t>
            </w:r>
          </w:p>
        </w:tc>
        <w:tc>
          <w:tcPr>
            <w:tcW w:type="dxa" w:w="1584"/>
            <w:tcMar>
              <w:top w:w="70" w:type="dxa"/>
              <w:bottom w:w="70" w:type="dxa"/>
              <w:left w:w="120" w:type="dxa"/>
              <w:right w:w="120" w:type="dxa"/>
            </w:tcMar>
          </w:tcPr>
          <w:p>
            <w:pPr>
              <w:spacing w:before="0" w:after="0"/>
              <w:jc w:val="center"/>
            </w:pPr>
            <w:r>
              <w:rPr>
                <w:rFonts w:ascii="Times New Roman" w:hAnsi="Times New Roman"/>
                <w:color w:val="222222"/>
                <w:sz w:val="18"/>
              </w:rPr>
              <w:t>373</w:t>
            </w:r>
          </w:p>
        </w:tc>
        <w:tc>
          <w:tcPr>
            <w:tcW w:type="dxa" w:w="1872"/>
            <w:tcMar>
              <w:top w:w="70" w:type="dxa"/>
              <w:bottom w:w="70" w:type="dxa"/>
              <w:left w:w="120" w:type="dxa"/>
              <w:right w:w="120" w:type="dxa"/>
            </w:tcMar>
          </w:tcPr>
          <w:p>
            <w:pPr>
              <w:spacing w:before="0" w:after="0"/>
              <w:jc w:val="center"/>
            </w:pPr>
            <w:r>
              <w:rPr>
                <w:rFonts w:ascii="Times New Roman" w:hAnsi="Times New Roman"/>
                <w:color w:val="222222"/>
                <w:sz w:val="18"/>
              </w:rPr>
              <w:t>8,325</w:t>
            </w:r>
          </w:p>
        </w:tc>
        <w:tc>
          <w:tcPr>
            <w:tcW w:type="dxa" w:w="1872"/>
            <w:tcMar>
              <w:top w:w="70" w:type="dxa"/>
              <w:bottom w:w="70" w:type="dxa"/>
              <w:left w:w="120" w:type="dxa"/>
              <w:right w:w="120" w:type="dxa"/>
            </w:tcMar>
          </w:tcPr>
          <w:p>
            <w:pPr>
              <w:spacing w:before="0" w:after="0"/>
              <w:jc w:val="center"/>
            </w:pPr>
            <w:r>
              <w:rPr>
                <w:rFonts w:ascii="Times New Roman" w:hAnsi="Times New Roman"/>
                <w:color w:val="222222"/>
                <w:sz w:val="18"/>
              </w:rPr>
              <w:t>15.00%</w:t>
            </w:r>
          </w:p>
        </w:tc>
      </w:tr>
      <w:tr>
        <w:tc>
          <w:tcPr>
            <w:tcW w:type="dxa" w:w="2160"/>
            <w:tcMar>
              <w:top w:w="70" w:type="dxa"/>
              <w:bottom w:w="70" w:type="dxa"/>
              <w:left w:w="120" w:type="dxa"/>
              <w:right w:w="120" w:type="dxa"/>
            </w:tcMar>
          </w:tcPr>
          <w:p>
            <w:pPr>
              <w:spacing w:before="0" w:after="0"/>
              <w:jc w:val="left"/>
            </w:pPr>
            <w:r>
              <w:rPr>
                <w:rFonts w:ascii="Times New Roman" w:hAnsi="Times New Roman"/>
                <w:color w:val="222222"/>
                <w:sz w:val="18"/>
              </w:rPr>
              <w:t>Test Set</w:t>
            </w:r>
          </w:p>
        </w:tc>
        <w:tc>
          <w:tcPr>
            <w:tcW w:type="dxa" w:w="1872"/>
            <w:tcMar>
              <w:top w:w="70" w:type="dxa"/>
              <w:bottom w:w="70" w:type="dxa"/>
              <w:left w:w="120" w:type="dxa"/>
              <w:right w:w="120" w:type="dxa"/>
            </w:tcMar>
          </w:tcPr>
          <w:p>
            <w:pPr>
              <w:spacing w:before="0" w:after="0"/>
              <w:jc w:val="center"/>
            </w:pPr>
            <w:r>
              <w:rPr>
                <w:rFonts w:ascii="Times New Roman" w:hAnsi="Times New Roman"/>
                <w:color w:val="222222"/>
                <w:sz w:val="18"/>
              </w:rPr>
              <w:t>7,952</w:t>
            </w:r>
          </w:p>
        </w:tc>
        <w:tc>
          <w:tcPr>
            <w:tcW w:type="dxa" w:w="1584"/>
            <w:tcMar>
              <w:top w:w="70" w:type="dxa"/>
              <w:bottom w:w="70" w:type="dxa"/>
              <w:left w:w="120" w:type="dxa"/>
              <w:right w:w="120" w:type="dxa"/>
            </w:tcMar>
          </w:tcPr>
          <w:p>
            <w:pPr>
              <w:spacing w:before="0" w:after="0"/>
              <w:jc w:val="center"/>
            </w:pPr>
            <w:r>
              <w:rPr>
                <w:rFonts w:ascii="Times New Roman" w:hAnsi="Times New Roman"/>
                <w:color w:val="222222"/>
                <w:sz w:val="18"/>
              </w:rPr>
              <w:t>373</w:t>
            </w:r>
          </w:p>
        </w:tc>
        <w:tc>
          <w:tcPr>
            <w:tcW w:type="dxa" w:w="1872"/>
            <w:tcMar>
              <w:top w:w="70" w:type="dxa"/>
              <w:bottom w:w="70" w:type="dxa"/>
              <w:left w:w="120" w:type="dxa"/>
              <w:right w:w="120" w:type="dxa"/>
            </w:tcMar>
          </w:tcPr>
          <w:p>
            <w:pPr>
              <w:spacing w:before="0" w:after="0"/>
              <w:jc w:val="center"/>
            </w:pPr>
            <w:r>
              <w:rPr>
                <w:rFonts w:ascii="Times New Roman" w:hAnsi="Times New Roman"/>
                <w:color w:val="222222"/>
                <w:sz w:val="18"/>
              </w:rPr>
              <w:t>8,325</w:t>
            </w:r>
          </w:p>
        </w:tc>
        <w:tc>
          <w:tcPr>
            <w:tcW w:type="dxa" w:w="1872"/>
            <w:tcMar>
              <w:top w:w="70" w:type="dxa"/>
              <w:bottom w:w="70" w:type="dxa"/>
              <w:left w:w="120" w:type="dxa"/>
              <w:right w:w="120" w:type="dxa"/>
            </w:tcMar>
          </w:tcPr>
          <w:p>
            <w:pPr>
              <w:spacing w:before="0" w:after="0"/>
              <w:jc w:val="center"/>
            </w:pPr>
            <w:r>
              <w:rPr>
                <w:rFonts w:ascii="Times New Roman" w:hAnsi="Times New Roman"/>
                <w:color w:val="222222"/>
                <w:sz w:val="18"/>
              </w:rPr>
              <w:t>15.00%</w:t>
            </w:r>
          </w:p>
        </w:tc>
      </w:tr>
      <w:tr>
        <w:tc>
          <w:tcPr>
            <w:tcW w:type="dxa" w:w="2160"/>
            <w:tcMar>
              <w:top w:w="70" w:type="dxa"/>
              <w:bottom w:w="70" w:type="dxa"/>
              <w:left w:w="120" w:type="dxa"/>
              <w:right w:w="120" w:type="dxa"/>
            </w:tcMar>
          </w:tcPr>
          <w:p>
            <w:pPr>
              <w:spacing w:before="0" w:after="0"/>
              <w:jc w:val="left"/>
            </w:pPr>
            <w:r>
              <w:rPr>
                <w:rFonts w:ascii="Times New Roman" w:hAnsi="Times New Roman"/>
                <w:b/>
                <w:color w:val="222222"/>
                <w:sz w:val="18"/>
              </w:rPr>
              <w:t>Total Corpus</w:t>
            </w:r>
          </w:p>
        </w:tc>
        <w:tc>
          <w:tcPr>
            <w:tcW w:type="dxa" w:w="1872"/>
            <w:tcMar>
              <w:top w:w="70" w:type="dxa"/>
              <w:bottom w:w="70" w:type="dxa"/>
              <w:left w:w="120" w:type="dxa"/>
              <w:right w:w="120" w:type="dxa"/>
            </w:tcMar>
          </w:tcPr>
          <w:p>
            <w:pPr>
              <w:spacing w:before="0" w:after="0"/>
              <w:jc w:val="center"/>
            </w:pPr>
            <w:r>
              <w:rPr>
                <w:rFonts w:ascii="Times New Roman" w:hAnsi="Times New Roman"/>
                <w:b/>
                <w:color w:val="222222"/>
                <w:sz w:val="18"/>
              </w:rPr>
              <w:t>53,019</w:t>
            </w:r>
          </w:p>
        </w:tc>
        <w:tc>
          <w:tcPr>
            <w:tcW w:type="dxa" w:w="1584"/>
            <w:tcMar>
              <w:top w:w="70" w:type="dxa"/>
              <w:bottom w:w="70" w:type="dxa"/>
              <w:left w:w="120" w:type="dxa"/>
              <w:right w:w="120" w:type="dxa"/>
            </w:tcMar>
          </w:tcPr>
          <w:p>
            <w:pPr>
              <w:spacing w:before="0" w:after="0"/>
              <w:jc w:val="center"/>
            </w:pPr>
            <w:r>
              <w:rPr>
                <w:rFonts w:ascii="Times New Roman" w:hAnsi="Times New Roman"/>
                <w:b/>
                <w:color w:val="222222"/>
                <w:sz w:val="18"/>
              </w:rPr>
              <w:t>2,479</w:t>
            </w:r>
          </w:p>
        </w:tc>
        <w:tc>
          <w:tcPr>
            <w:tcW w:type="dxa" w:w="1872"/>
            <w:tcMar>
              <w:top w:w="70" w:type="dxa"/>
              <w:bottom w:w="70" w:type="dxa"/>
              <w:left w:w="120" w:type="dxa"/>
              <w:right w:w="120" w:type="dxa"/>
            </w:tcMar>
          </w:tcPr>
          <w:p>
            <w:pPr>
              <w:spacing w:before="0" w:after="0"/>
              <w:jc w:val="center"/>
            </w:pPr>
            <w:r>
              <w:rPr>
                <w:rFonts w:ascii="Times New Roman" w:hAnsi="Times New Roman"/>
                <w:b/>
                <w:color w:val="222222"/>
                <w:sz w:val="18"/>
              </w:rPr>
              <w:t>55,498</w:t>
            </w:r>
          </w:p>
        </w:tc>
        <w:tc>
          <w:tcPr>
            <w:tcW w:type="dxa" w:w="1872"/>
            <w:tcMar>
              <w:top w:w="70" w:type="dxa"/>
              <w:bottom w:w="70" w:type="dxa"/>
              <w:left w:w="120" w:type="dxa"/>
              <w:right w:w="120" w:type="dxa"/>
            </w:tcMar>
          </w:tcPr>
          <w:p>
            <w:pPr>
              <w:spacing w:before="0" w:after="0"/>
              <w:jc w:val="center"/>
            </w:pPr>
            <w:r>
              <w:rPr>
                <w:rFonts w:ascii="Times New Roman" w:hAnsi="Times New Roman"/>
                <w:b/>
                <w:color w:val="222222"/>
                <w:sz w:val="18"/>
              </w:rPr>
              <w:t>100.00%</w:t>
            </w:r>
          </w:p>
        </w:tc>
      </w:tr>
    </w:tbl>
    <w:p>
      <w:pPr>
        <w:spacing w:before="0" w:after="120"/>
      </w:pPr>
    </w:p>
    <w:p>
      <w:pPr>
        <w:keepNext/>
        <w:spacing w:before="200" w:after="60"/>
      </w:pPr>
      <w:r>
        <w:rPr>
          <w:rFonts w:ascii="Times New Roman" w:hAnsi="Times New Roman"/>
          <w:b/>
          <w:color w:val="134074"/>
          <w:sz w:val="22"/>
        </w:rPr>
        <w:t>1.3 Baseline 1D-CNN Architecture &amp; Imbalance-Aware Optimization</w:t>
      </w:r>
    </w:p>
    <w:p>
      <w:pPr>
        <w:spacing w:before="0" w:after="100" w:line="276" w:lineRule="auto"/>
        <w:jc w:val="both"/>
      </w:pPr>
      <w:r>
        <w:rPr>
          <w:rFonts w:ascii="Times New Roman" w:hAnsi="Times New Roman"/>
          <w:color w:val="222222"/>
          <w:sz w:val="20"/>
        </w:rPr>
        <w:t>Architectural Specification: To target edge firewalls and residential routers with strict silicon constraints, a compact 1D-CNN architecture (Traffic1DCNN) is engineered. The network comprises exactly 44,129 trainable parameters across three convolutional blocks and a fully connected head:</w:t>
      </w:r>
    </w:p>
    <w:p>
      <w:pPr>
        <w:spacing w:before="0" w:after="100" w:line="276" w:lineRule="auto"/>
        <w:jc w:val="both"/>
      </w:pPr>
      <w:r>
        <w:rPr>
          <w:rFonts w:ascii="Times New Roman" w:hAnsi="Times New Roman"/>
          <w:color w:val="222222"/>
          <w:sz w:val="20"/>
        </w:rPr>
        <w:t>• Block 1: Conv1d(2 -&gt; 32, k=5, p=2, bias=True) [320 wt + 32 bias = 352] -&gt; BatchNorm1d(32) [32 wt + 32 bias = 64] -&gt; ReLU() -&gt; MaxPool1d(2) [Total: 416 params]</w:t>
        <w:br/>
        <w:t>• Block 2: Conv1d(32 -&gt; 64, k=5, p=2, bias=True) [10,240 wt + 64 bias = 10,304] -&gt; BatchNorm1d(64) [64 wt + 64 bias = 128] -&gt; ReLU() -&gt; MaxPool1d(2) [Total: 10,432 params]</w:t>
        <w:br/>
        <w:t>• Block 3: Conv1d(64 -&gt; 128, k=3, p=1, bias=True) [24,576 wt + 128 bias = 24,704] -&gt; BatchNorm1d(128) [128 wt + 128 bias = 256] -&gt; ReLU() -&gt; AdaptiveAvgPool1d(1) [Total: 24,960 params]</w:t>
        <w:br/>
        <w:t>• Classifier Head: Linear(128 -&gt; 64) [8,192 wt + 64 bias = 8,256] -&gt; ReLU() -&gt; Dropout(0.3) -&gt; Linear(64 -&gt; 1) [64 wt + 1 bias = 65] [Total: 8,321 params]</w:t>
        <w:br/>
        <w:t>Total Parameter Verification: 416 (Block 1) + 10,432 (Block 2) + 24,960 (Block 3) + 8,256 (FC1) + 65 (FC2) = exactly 44,129 trainable parameters.</w:t>
      </w:r>
    </w:p>
    <w:p>
      <w:pPr>
        <w:spacing w:before="0" w:after="100" w:line="276" w:lineRule="auto"/>
        <w:jc w:val="both"/>
      </w:pPr>
      <w:r>
        <w:rPr>
          <w:rFonts w:ascii="Times New Roman" w:hAnsi="Times New Roman"/>
          <w:color w:val="222222"/>
          <w:sz w:val="20"/>
        </w:rPr>
        <w:t>Storage Footprint &amp; Compression Accounting: Under standard IEEE 754 32-bit floating-point representation, the 44,129 parameters require 176,516 bytes (176.516 kB decimal, ~172.38 KiB). The convolutional and linear weight tensors contain exactly 43,392 weights; at one byte per INT8 weight, idealized integer weight storage is 43,392 bytes, achieving an exact 4.00:1 weight compression ratio (or 4.07:1 when comparing total FP32 parameter bytes to raw INT8 weight bytes). In serialized disk storage, the PyTorch model checkpoint occupies 184.2 KB (FP32 state dictionary) and 53.4 KB (TorchScript INT8 quantized module).</w:t>
      </w:r>
    </w:p>
    <w:p>
      <w:pPr>
        <w:spacing w:before="0" w:after="100" w:line="276" w:lineRule="auto"/>
        <w:jc w:val="both"/>
      </w:pPr>
      <w:r>
        <w:rPr>
          <w:rFonts w:ascii="Times New Roman" w:hAnsi="Times New Roman"/>
          <w:color w:val="222222"/>
          <w:sz w:val="20"/>
        </w:rPr>
        <w:t>Imbalance-Weighted Loss Formulation: To prevent the network from trivially collapsing to majority-class prediction, training optimizes positive-class-weighted Binary Cross-Entropy with Logits (L_wBCE):</w:t>
      </w:r>
    </w:p>
    <w:p>
      <w:pPr>
        <w:tabs>
          <w:tab w:pos="9360" w:val="right"/>
        </w:tabs>
        <w:spacing w:before="80" w:after="100" w:line="276" w:lineRule="auto"/>
        <w:ind w:left="576"/>
      </w:pPr>
      <m:oMath>
        <m:sSub>
          <m:e>
            <m:r>
              <m:t>ℒ</m:t>
            </m:r>
          </m:e>
          <m:sub>
            <m:r>
              <m:t>wBCE</m:t>
            </m:r>
          </m:sub>
        </m:sSub>
        <m:d>
          <m:dPr>
            <m:begChr m:val="("/>
            <m:endChr m:val=")"/>
          </m:dPr>
          <m:e>
            <m:r>
              <m:t>z, y</m:t>
            </m:r>
          </m:e>
        </m:d>
        <m:r>
          <m:t> = - </m:t>
        </m:r>
        <m:d>
          <m:dPr>
            <m:begChr m:val="["/>
            <m:endChr m:val="]"/>
          </m:dPr>
          <m:e>
            <m:r>
              <m:t>w · y · ln σ</m:t>
            </m:r>
            <m:d>
              <m:dPr>
                <m:begChr m:val="("/>
                <m:endChr m:val=")"/>
              </m:dPr>
              <m:e>
                <m:r>
                  <m:t>z</m:t>
                </m:r>
              </m:e>
            </m:d>
            <m:r>
              <m:t> + (1 - y) · ln</m:t>
            </m:r>
            <m:d>
              <m:dPr>
                <m:begChr m:val="("/>
                <m:endChr m:val=")"/>
              </m:dPr>
              <m:e>
                <m:r>
                  <m:t>1 - σ(z)</m:t>
                </m:r>
              </m:e>
            </m:d>
          </m:e>
        </m:d>
      </m:oMath>
      <w:r>
        <w:rPr>
          <w:rFonts w:ascii="Times New Roman" w:hAnsi="Times New Roman"/>
          <w:b/>
          <w:color w:val="4A5568"/>
          <w:sz w:val="20"/>
        </w:rPr>
        <w:tab/>
        <w:t>(5)</w:t>
      </w:r>
    </w:p>
    <w:p>
      <w:pPr>
        <w:spacing w:before="0" w:after="100" w:line="276" w:lineRule="auto"/>
        <w:jc w:val="both"/>
      </w:pPr>
      <w:r>
        <w:rPr>
          <w:rFonts w:ascii="Times New Roman" w:hAnsi="Times New Roman"/>
          <w:color w:val="222222"/>
          <w:sz w:val="20"/>
        </w:rPr>
        <w:t>where z is the scalar output logit, sigma(z) = 1 / (1 + e^{-z}), y in {0, 1}, and the positive class loss weight w is parameterized directly from the training split ratio: w = N_{train, Non-VPN} / N_{train, VPN} = 37,115 / 1,733 = 21.4166.</w:t>
      </w:r>
    </w:p>
    <w:p>
      <w:pPr>
        <w:spacing w:before="0" w:after="100" w:line="276" w:lineRule="auto"/>
        <w:jc w:val="both"/>
      </w:pPr>
      <w:r>
        <w:rPr>
          <w:rFonts w:ascii="Times New Roman" w:hAnsi="Times New Roman"/>
          <w:color w:val="222222"/>
          <w:sz w:val="20"/>
        </w:rPr>
        <w:t>Operational Threshold Selection: Because weighted loss training alters logit calibration, the operational classification decision threshold tau* is tuned strictly on the 15% validation split to maximize the macro F1-score: tau* = argmax_{tau in [0, 1]} F1(tau; D_val), yielding tau* = 0.62. This threshold is frozen prior to evaluation on the blind test split, completely separating threshold selection from test metrics.</w:t>
      </w:r>
    </w:p>
    <w:p>
      <w:pPr>
        <w:spacing w:before="0" w:after="100" w:line="276" w:lineRule="auto"/>
        <w:jc w:val="both"/>
      </w:pPr>
      <w:r>
        <w:rPr>
          <w:rFonts w:ascii="Times New Roman" w:hAnsi="Times New Roman"/>
          <w:color w:val="222222"/>
          <w:sz w:val="20"/>
        </w:rPr>
        <w:t>Optimization Schedule: Training proceeds for 15 epochs using AdamW (beta_1 = 0.9, beta_2 = 0.999, weight_decay = 1e-4) with batch size B = 64. The learning rate decays from eta_max = 1e-3 to eta_min = 1e-5 via a Cosine Annealing schedule:</w:t>
      </w:r>
    </w:p>
    <w:p>
      <w:pPr>
        <w:tabs>
          <w:tab w:pos="9360" w:val="right"/>
        </w:tabs>
        <w:spacing w:before="80" w:after="100" w:line="276" w:lineRule="auto"/>
        <w:ind w:left="576"/>
      </w:pPr>
      <m:oMath>
        <m:sSub>
          <m:e>
            <m:r>
              <m:t>η</m:t>
            </m:r>
          </m:e>
          <m:sub>
            <m:r>
              <m:t>t</m:t>
            </m:r>
          </m:sub>
        </m:sSub>
        <m:r>
          <m:t> = </m:t>
        </m:r>
        <m:sSub>
          <m:e>
            <m:r>
              <m:t>η</m:t>
            </m:r>
          </m:e>
          <m:sub>
            <m:r>
              <m:t>min</m:t>
            </m:r>
          </m:sub>
        </m:sSub>
        <m:r>
          <m:t> + </m:t>
        </m:r>
        <m:f>
          <m:num>
            <m:r>
              <m:t>1</m:t>
            </m:r>
          </m:num>
          <m:den>
            <m:r>
              <m:t>2</m:t>
            </m:r>
          </m:den>
        </m:f>
        <m:d>
          <m:dPr>
            <m:begChr m:val="("/>
            <m:endChr m:val=")"/>
          </m:dPr>
          <m:e>
            <m:sSub>
              <m:e>
                <m:r>
                  <m:t>η</m:t>
                </m:r>
              </m:e>
              <m:sub>
                <m:r>
                  <m:t>max</m:t>
                </m:r>
              </m:sub>
            </m:sSub>
            <m:r>
              <m:t> - </m:t>
            </m:r>
            <m:sSub>
              <m:e>
                <m:r>
                  <m:t>η</m:t>
                </m:r>
              </m:e>
              <m:sub>
                <m:r>
                  <m:t>min</m:t>
                </m:r>
              </m:sub>
            </m:sSub>
          </m:e>
        </m:d>
        <m:d>
          <m:dPr>
            <m:begChr m:val="("/>
            <m:endChr m:val=")"/>
          </m:dPr>
          <m:e>
            <m:r>
              <m:t>1 + cos</m:t>
            </m:r>
            <m:d>
              <m:dPr>
                <m:begChr m:val="("/>
                <m:endChr m:val=")"/>
              </m:dPr>
              <m:e>
                <m:f>
                  <m:num>
                    <m:r>
                      <m:t>t</m:t>
                    </m:r>
                  </m:num>
                  <m:den>
                    <m:sSub>
                      <m:e>
                        <m:r>
                          <m:t>T</m:t>
                        </m:r>
                      </m:e>
                      <m:sub>
                        <m:r>
                          <m:t>max</m:t>
                        </m:r>
                      </m:sub>
                    </m:sSub>
                  </m:den>
                </m:f>
                <m:r>
                  <m:t> · π</m:t>
                </m:r>
              </m:e>
            </m:d>
          </m:e>
        </m:d>
      </m:oMath>
      <w:r>
        <w:rPr>
          <w:rFonts w:ascii="Times New Roman" w:hAnsi="Times New Roman"/>
          <w:b/>
          <w:color w:val="4A5568"/>
          <w:sz w:val="20"/>
        </w:rPr>
        <w:tab/>
        <w:t>(6)</w:t>
      </w:r>
    </w:p>
    <w:p>
      <w:pPr>
        <w:spacing w:before="0" w:after="100" w:line="276" w:lineRule="auto"/>
        <w:jc w:val="both"/>
      </w:pPr>
      <w:r>
        <w:rPr>
          <w:rFonts w:ascii="Times New Roman" w:hAnsi="Times New Roman"/>
          <w:color w:val="222222"/>
          <w:sz w:val="20"/>
        </w:rPr>
        <w:t>Validation loss and balanced accuracy are evaluated after each epoch; the optimal baseline checkpoint is preserved at Epoch 12.</w:t>
      </w:r>
    </w:p>
    <w:p>
      <w:pPr>
        <w:keepNext/>
        <w:spacing w:before="200" w:after="60"/>
      </w:pPr>
      <w:r>
        <w:rPr>
          <w:rFonts w:ascii="Times New Roman" w:hAnsi="Times New Roman"/>
          <w:b/>
          <w:color w:val="134074"/>
          <w:sz w:val="22"/>
        </w:rPr>
        <w:t>1.4 Dual Quantization Paradigms (PTQ &amp; QAT) &amp; Hardware Compilation</w:t>
      </w:r>
    </w:p>
    <w:p>
      <w:pPr>
        <w:spacing w:before="0" w:after="100" w:line="276" w:lineRule="auto"/>
        <w:jc w:val="both"/>
      </w:pPr>
      <w:r>
        <w:rPr>
          <w:rFonts w:ascii="Times New Roman" w:hAnsi="Times New Roman"/>
          <w:color w:val="222222"/>
          <w:sz w:val="20"/>
        </w:rPr>
        <w:t>To examine how model compression influences internal decision logic, the FP32 baseline network is subjected to two distinct quantization regimes: static Post-Training Quantization (PTQ) and Quantization-Aware Training (QAT).</w:t>
      </w:r>
    </w:p>
    <w:p>
      <w:pPr>
        <w:spacing w:before="0" w:after="100" w:line="276" w:lineRule="auto"/>
        <w:jc w:val="both"/>
      </w:pPr>
      <w:r>
        <w:rPr>
          <w:rFonts w:ascii="Times New Roman" w:hAnsi="Times New Roman"/>
          <w:color w:val="222222"/>
          <w:sz w:val="20"/>
        </w:rPr>
        <w:t>1. Static Post-Training Quantization (PTQ): Evaluates true fixed-point integer execution. In PyTorch's QNNPACK (ARM edge) and FBGEMM (x86) backends, weights are mapped to signed symmetric 8-bit integers q_w in [-128, 127] with zero-point Z_w ≡ 0, while activations are mapped to non-negative affine quantized 8-bit integers q_a in [0, 255] with dynamic zero-point Z_a &gt;= 0:</w:t>
      </w:r>
    </w:p>
    <w:p>
      <w:pPr>
        <w:tabs>
          <w:tab w:pos="9360" w:val="right"/>
        </w:tabs>
        <w:spacing w:before="80" w:after="100" w:line="276" w:lineRule="auto"/>
        <w:ind w:left="576"/>
      </w:pPr>
      <m:oMath>
        <m:sSub>
          <m:e>
            <m:r>
              <m:t>q</m:t>
            </m:r>
          </m:e>
          <m:sub>
            <m:r>
              <m:t>w</m:t>
            </m:r>
          </m:sub>
        </m:sSub>
        <m:r>
          <m:t> = clamp</m:t>
        </m:r>
        <m:d>
          <m:dPr>
            <m:begChr m:val="("/>
            <m:endChr m:val=")"/>
          </m:dPr>
          <m:e>
            <m:r>
              <m:t>round</m:t>
            </m:r>
            <m:d>
              <m:dPr>
                <m:begChr m:val="("/>
                <m:endChr m:val=")"/>
              </m:dPr>
              <m:e>
                <m:f>
                  <m:num>
                    <m:r>
                      <m:t>w</m:t>
                    </m:r>
                  </m:num>
                  <m:den>
                    <m:sSub>
                      <m:e>
                        <m:r>
                          <m:t>S</m:t>
                        </m:r>
                      </m:e>
                      <m:sub>
                        <m:r>
                          <m:t>w</m:t>
                        </m:r>
                      </m:sub>
                    </m:sSub>
                  </m:den>
                </m:f>
              </m:e>
            </m:d>
            <m:r>
              <m:t>,  -128,  127</m:t>
            </m:r>
          </m:e>
        </m:d>
        <m:r>
          <m:t>;    </m:t>
        </m:r>
        <m:sSub>
          <m:e>
            <m:r>
              <m:t>q</m:t>
            </m:r>
          </m:e>
          <m:sub>
            <m:r>
              <m:t>a</m:t>
            </m:r>
          </m:sub>
        </m:sSub>
        <m:r>
          <m:t> = clamp</m:t>
        </m:r>
        <m:d>
          <m:dPr>
            <m:begChr m:val="("/>
            <m:endChr m:val=")"/>
          </m:dPr>
          <m:e>
            <m:r>
              <m:t>round</m:t>
            </m:r>
            <m:d>
              <m:dPr>
                <m:begChr m:val="("/>
                <m:endChr m:val=")"/>
              </m:dPr>
              <m:e>
                <m:f>
                  <m:num>
                    <m:r>
                      <m:t>a</m:t>
                    </m:r>
                  </m:num>
                  <m:den>
                    <m:sSub>
                      <m:e>
                        <m:r>
                          <m:t>S</m:t>
                        </m:r>
                      </m:e>
                      <m:sub>
                        <m:r>
                          <m:t>a</m:t>
                        </m:r>
                      </m:sub>
                    </m:sSub>
                  </m:den>
                </m:f>
              </m:e>
            </m:d>
            <m:r>
              <m:t> + </m:t>
            </m:r>
            <m:sSub>
              <m:e>
                <m:r>
                  <m:t>Z</m:t>
                </m:r>
              </m:e>
              <m:sub>
                <m:r>
                  <m:t>a</m:t>
                </m:r>
              </m:sub>
            </m:sSub>
            <m:r>
              <m:t>,  0,  255</m:t>
            </m:r>
          </m:e>
        </m:d>
      </m:oMath>
      <w:r>
        <w:rPr>
          <w:rFonts w:ascii="Times New Roman" w:hAnsi="Times New Roman"/>
          <w:b/>
          <w:color w:val="4A5568"/>
          <w:sz w:val="20"/>
        </w:rPr>
        <w:tab/>
        <w:t>(7)</w:t>
      </w:r>
    </w:p>
    <w:p>
      <w:pPr>
        <w:spacing w:before="0" w:after="100" w:line="276" w:lineRule="auto"/>
        <w:jc w:val="both"/>
      </w:pPr>
      <w:r>
        <w:rPr>
          <w:rFonts w:ascii="Times New Roman" w:hAnsi="Times New Roman"/>
          <w:color w:val="222222"/>
          <w:sz w:val="20"/>
        </w:rPr>
        <w:t>Balanced Calibration Protocol: Standard calibration over randomly sampled traffic is heavily skewed by the 95.53% majority class, biasing activation dynamic ranges toward short Non-VPN flows. To prevent observer distortion, calibration is conducted over an exact 1:1 balanced subset of 746 validation flows (373 VPN vs. 373 Non-VPN flows). Scale factors are determined using PyTorch's HistogramObserver minimizing Kullback-Leibler divergence.</w:t>
      </w:r>
    </w:p>
    <w:p>
      <w:pPr>
        <w:spacing w:before="0" w:after="100" w:line="276" w:lineRule="auto"/>
        <w:jc w:val="both"/>
      </w:pPr>
      <w:r>
        <w:rPr>
          <w:rFonts w:ascii="Times New Roman" w:hAnsi="Times New Roman"/>
          <w:color w:val="222222"/>
          <w:sz w:val="20"/>
        </w:rPr>
        <w:t>2. Quantization-Aware Training (QAT): In QAT, numerical truncation is modeled during forward propagation via FakeQuantize modules:</w:t>
      </w:r>
    </w:p>
    <w:p>
      <w:pPr>
        <w:tabs>
          <w:tab w:pos="9360" w:val="right"/>
        </w:tabs>
        <w:spacing w:before="80" w:after="100" w:line="276" w:lineRule="auto"/>
        <w:ind w:left="576"/>
      </w:pPr>
      <m:oMath>
        <m:sSub>
          <m:e>
            <m:r>
              <m:t>q</m:t>
            </m:r>
          </m:e>
          <m:sub>
            <m:r>
              <m:t>fake</m:t>
            </m:r>
          </m:sub>
        </m:sSub>
        <m:d>
          <m:dPr>
            <m:begChr m:val="("/>
            <m:endChr m:val=")"/>
          </m:dPr>
          <m:e>
            <m:r>
              <m:t>x</m:t>
            </m:r>
          </m:e>
        </m:d>
        <m:r>
          <m:t> = S · </m:t>
        </m:r>
        <m:d>
          <m:dPr>
            <m:begChr m:val="["/>
            <m:endChr m:val="]"/>
          </m:dPr>
          <m:e>
            <m:r>
              <m:t>clamp</m:t>
            </m:r>
            <m:d>
              <m:dPr>
                <m:begChr m:val="("/>
                <m:endChr m:val=")"/>
              </m:dPr>
              <m:e>
                <m:r>
                  <m:t>round</m:t>
                </m:r>
                <m:d>
                  <m:dPr>
                    <m:begChr m:val="("/>
                    <m:endChr m:val=")"/>
                  </m:dPr>
                  <m:e>
                    <m:f>
                      <m:num>
                        <m:r>
                          <m:t>x</m:t>
                        </m:r>
                      </m:num>
                      <m:den>
                        <m:r>
                          <m:t>S</m:t>
                        </m:r>
                      </m:den>
                    </m:f>
                  </m:e>
                </m:d>
                <m:r>
                  <m:t> + Z,  </m:t>
                </m:r>
                <m:sSub>
                  <m:e>
                    <m:r>
                      <m:t>q</m:t>
                    </m:r>
                  </m:e>
                  <m:sub>
                    <m:r>
                      <m:t>min</m:t>
                    </m:r>
                  </m:sub>
                </m:sSub>
                <m:r>
                  <m:t>,  </m:t>
                </m:r>
                <m:sSub>
                  <m:e>
                    <m:r>
                      <m:t>q</m:t>
                    </m:r>
                  </m:e>
                  <m:sub>
                    <m:r>
                      <m:t>max</m:t>
                    </m:r>
                  </m:sub>
                </m:sSub>
              </m:e>
            </m:d>
            <m:r>
              <m:t> - Z</m:t>
            </m:r>
          </m:e>
        </m:d>
      </m:oMath>
      <w:r>
        <w:rPr>
          <w:rFonts w:ascii="Times New Roman" w:hAnsi="Times New Roman"/>
          <w:b/>
          <w:color w:val="4A5568"/>
          <w:sz w:val="20"/>
        </w:rPr>
        <w:tab/>
        <w:t>(8)</w:t>
      </w:r>
    </w:p>
    <w:p>
      <w:pPr>
        <w:spacing w:before="0" w:after="100" w:line="276" w:lineRule="auto"/>
        <w:jc w:val="both"/>
      </w:pPr>
      <w:r>
        <w:rPr>
          <w:rFonts w:ascii="Times New Roman" w:hAnsi="Times New Roman"/>
          <w:color w:val="222222"/>
          <w:sz w:val="20"/>
        </w:rPr>
        <w:t>Because the rounding operator has zero derivative almost everywhere, backpropagation is enabled using the Straight-Through Estimator (STE):</w:t>
      </w:r>
    </w:p>
    <w:p>
      <w:pPr>
        <w:tabs>
          <w:tab w:pos="9360" w:val="right"/>
        </w:tabs>
        <w:spacing w:before="80" w:after="100" w:line="276" w:lineRule="auto"/>
        <w:ind w:left="576"/>
      </w:pPr>
      <m:oMath>
        <m:f>
          <m:num>
            <m:r>
              <m:t>∂ </m:t>
            </m:r>
            <m:sSub>
              <m:e>
                <m:r>
                  <m:t>q</m:t>
                </m:r>
              </m:e>
              <m:sub>
                <m:r>
                  <m:t>fake</m:t>
                </m:r>
              </m:sub>
            </m:sSub>
            <m:d>
              <m:dPr>
                <m:begChr m:val="("/>
                <m:endChr m:val=")"/>
              </m:dPr>
              <m:e>
                <m:r>
                  <m:t>x</m:t>
                </m:r>
              </m:e>
            </m:d>
          </m:num>
          <m:den>
            <m:r>
              <m:t>∂ x</m:t>
            </m:r>
          </m:den>
        </m:f>
        <m:r>
          <m:t> = </m:t>
        </m:r>
        <m:d>
          <m:dPr>
            <m:begChr m:val="{"/>
            <m:endChr m:val=""/>
          </m:dPr>
          <m:e>
            <m:eqArr>
              <m:e>
                <m:r>
                  <m:t>1,    if  </m:t>
                </m:r>
                <m:sSub>
                  <m:e>
                    <m:r>
                      <m:t>q</m:t>
                    </m:r>
                  </m:e>
                  <m:sub>
                    <m:r>
                      <m:t>min</m:t>
                    </m:r>
                  </m:sub>
                </m:sSub>
                <m:r>
                  <m:t> ≤ </m:t>
                </m:r>
                <m:f>
                  <m:num>
                    <m:r>
                      <m:t>x</m:t>
                    </m:r>
                  </m:num>
                  <m:den>
                    <m:r>
                      <m:t>S</m:t>
                    </m:r>
                  </m:den>
                </m:f>
                <m:r>
                  <m:t> + Z ≤ </m:t>
                </m:r>
                <m:sSub>
                  <m:e>
                    <m:r>
                      <m:t>q</m:t>
                    </m:r>
                  </m:e>
                  <m:sub>
                    <m:r>
                      <m:t>max</m:t>
                    </m:r>
                  </m:sub>
                </m:sSub>
              </m:e>
              <m:e>
                <m:r>
                  <m:t>0,    otherwise</m:t>
                </m:r>
              </m:e>
            </m:eqArr>
          </m:e>
        </m:d>
      </m:oMath>
      <w:r>
        <w:rPr>
          <w:rFonts w:ascii="Times New Roman" w:hAnsi="Times New Roman"/>
          <w:b/>
          <w:color w:val="4A5568"/>
          <w:sz w:val="20"/>
        </w:rPr>
        <w:tab/>
        <w:t>(9)</w:t>
      </w:r>
    </w:p>
    <w:p>
      <w:pPr>
        <w:spacing w:before="0" w:after="100" w:line="276" w:lineRule="auto"/>
        <w:jc w:val="both"/>
      </w:pPr>
      <w:r>
        <w:rPr>
          <w:rFonts w:ascii="Times New Roman" w:hAnsi="Times New Roman"/>
          <w:color w:val="222222"/>
          <w:sz w:val="20"/>
        </w:rPr>
        <w:t>Scope of QAT Optimization: The network is initialized from pre-trained FP32 weights and fine-tuned for 3 epochs with AdamW at eta = 1e-4 using the weighted loss function (w = 21.4166). Following convergence, weights and activation scales are frozen and converted into true fixed-point integer execution modules. This evaluates whether standard task-loss retraining mitigates attribution drift, rather than asserting an intractable universal failure of all conceivable QAT hyperparameter variations.</w:t>
      </w:r>
    </w:p>
    <w:p>
      <w:pPr>
        <w:spacing w:before="0" w:after="100" w:line="276" w:lineRule="auto"/>
        <w:jc w:val="both"/>
      </w:pPr>
      <w:r>
        <w:rPr>
          <w:rFonts w:ascii="Times New Roman" w:hAnsi="Times New Roman"/>
          <w:color w:val="222222"/>
          <w:sz w:val="20"/>
        </w:rPr>
        <w:t>Hardware Compilation: To eliminate Python interpreter dispatch overhead on edge hardware, all model variants (FP32, INT8 PTQ, and INT8 QAT) are compiled via TorchScript JIT graph tracing (torch.jit.trace). Execution latency is benchmarked on dedicated single-core CPU environments (torch.set_num_threads(1)) across 50 warmup iterations and 500 timed repetitions at batch sizes B in {1, 32}.</w:t>
      </w:r>
    </w:p>
    <w:p>
      <w:pPr>
        <w:keepNext/>
        <w:spacing w:before="200" w:after="60"/>
      </w:pPr>
      <w:r>
        <w:rPr>
          <w:rFonts w:ascii="Times New Roman" w:hAnsi="Times New Roman"/>
          <w:b/>
          <w:color w:val="134074"/>
          <w:sz w:val="22"/>
        </w:rPr>
        <w:t>1.5 Explainability Framework &amp; Attribution Drift Metrics</w:t>
      </w:r>
    </w:p>
    <w:p>
      <w:pPr>
        <w:spacing w:before="0" w:after="100" w:line="276" w:lineRule="auto"/>
        <w:jc w:val="both"/>
      </w:pPr>
      <w:r>
        <w:rPr>
          <w:rFonts w:ascii="Times New Roman" w:hAnsi="Times New Roman"/>
          <w:color w:val="222222"/>
          <w:sz w:val="20"/>
        </w:rPr>
        <w:t>Feature attributions are extracted across the balanced test benchmark (N = 746 flows: 373 VPN vs. 373 Non-VPN) using two complementary explainability paradigms:</w:t>
      </w:r>
    </w:p>
    <w:p>
      <w:pPr>
        <w:spacing w:before="0" w:after="100" w:line="276" w:lineRule="auto"/>
        <w:jc w:val="both"/>
      </w:pPr>
      <w:r>
        <w:rPr>
          <w:rFonts w:ascii="Times New Roman" w:hAnsi="Times New Roman"/>
          <w:color w:val="222222"/>
          <w:sz w:val="20"/>
        </w:rPr>
        <w:t>1. Perturbation-Based KernelSHAP: Evaluates the deployed, discrete INT8 integer model. KernelSHAP evaluates local additive feature importances phi in R^{128} by solving a weighted linear regression over randomly masked input coalitions with an all-zero reference baseline (x_base = 0_{2 x 64}). Features are ranked by absolute magnitude (|phi_i|), identifying the most influential predictors regardless of positive or negative polarity.</w:t>
      </w:r>
    </w:p>
    <w:p>
      <w:pPr>
        <w:spacing w:before="0" w:after="100" w:line="276" w:lineRule="auto"/>
        <w:jc w:val="both"/>
      </w:pPr>
      <w:r>
        <w:rPr>
          <w:rFonts w:ascii="Times New Roman" w:hAnsi="Times New Roman"/>
          <w:color w:val="222222"/>
          <w:sz w:val="20"/>
        </w:rPr>
        <w:t>2. Path-Integral Integrated Gradients: Evaluates a continuous FakeQuantization STE surrogate model across m = 30 path-integral interpolation steps on a representative 50-flow benchmark cohort (25 VPN vs. 25 Non-VPN) due to interpolation path-sampling complexity:</w:t>
      </w:r>
    </w:p>
    <w:p>
      <w:pPr>
        <w:tabs>
          <w:tab w:pos="9360" w:val="right"/>
        </w:tabs>
        <w:spacing w:before="80" w:after="100" w:line="276" w:lineRule="auto"/>
        <w:ind w:left="576"/>
      </w:pPr>
      <m:oMath>
        <m:sSubSup>
          <m:e>
            <m:r>
              <m:t>ϕ</m:t>
            </m:r>
          </m:e>
          <m:sub>
            <m:r>
              <m:t>i</m:t>
            </m:r>
          </m:sub>
          <m:sup>
            <m:r>
              <m:t>IG</m:t>
            </m:r>
          </m:sup>
        </m:sSubSup>
        <m:d>
          <m:dPr>
            <m:begChr m:val="("/>
            <m:endChr m:val=")"/>
          </m:dPr>
          <m:e>
            <m:r>
              <m:t>x</m:t>
            </m:r>
          </m:e>
        </m:d>
        <m:r>
          <m:t> = </m:t>
        </m:r>
        <m:d>
          <m:dPr>
            <m:begChr m:val="("/>
            <m:endChr m:val=")"/>
          </m:dPr>
          <m:e>
            <m:sSub>
              <m:e>
                <m:r>
                  <m:t>x</m:t>
                </m:r>
              </m:e>
              <m:sub>
                <m:r>
                  <m:t>i</m:t>
                </m:r>
              </m:sub>
            </m:sSub>
            <m:r>
              <m:t> - </m:t>
            </m:r>
            <m:sSubSup>
              <m:e>
                <m:r>
                  <m:t>x</m:t>
                </m:r>
              </m:e>
              <m:sub>
                <m:r>
                  <m:t>i</m:t>
                </m:r>
              </m:sub>
              <m:sup>
                <m:r>
                  <m:t>′</m:t>
                </m:r>
              </m:sup>
            </m:sSubSup>
          </m:e>
        </m:d>
        <m:r>
          <m:t> · </m:t>
        </m:r>
        <m:f>
          <m:num>
            <m:r>
              <m:t>1</m:t>
            </m:r>
          </m:num>
          <m:den>
            <m:r>
              <m:t>m</m:t>
            </m:r>
          </m:den>
        </m:f>
        <m:nary>
          <m:naryPr>
            <m:chr m:val="∑"/>
          </m:naryPr>
          <m:sub>
            <m:r>
              <m:t>k=1</m:t>
            </m:r>
          </m:sub>
          <m:sup>
            <m:r>
              <m:t>m</m:t>
            </m:r>
          </m:sup>
          <m:e>
            <m:f>
              <m:num>
                <m:r>
                  <m:t>∂ F</m:t>
                </m:r>
                <m:d>
                  <m:dPr>
                    <m:begChr m:val="("/>
                    <m:endChr m:val=")"/>
                  </m:dPr>
                  <m:e>
                    <m:r>
                      <m:t>x′ + </m:t>
                    </m:r>
                    <m:f>
                      <m:num>
                        <m:r>
                          <m:t>k</m:t>
                        </m:r>
                      </m:num>
                      <m:den>
                        <m:r>
                          <m:t>m</m:t>
                        </m:r>
                      </m:den>
                    </m:f>
                    <m:r>
                      <m:t> · (x - x′)</m:t>
                    </m:r>
                  </m:e>
                </m:d>
              </m:num>
              <m:den>
                <m:r>
                  <m:t>∂ </m:t>
                </m:r>
                <m:sSub>
                  <m:e>
                    <m:r>
                      <m:t>x</m:t>
                    </m:r>
                  </m:e>
                  <m:sub>
                    <m:r>
                      <m:t>i</m:t>
                    </m:r>
                  </m:sub>
                </m:sSub>
              </m:den>
            </m:f>
          </m:e>
        </m:nary>
      </m:oMath>
      <w:r>
        <w:rPr>
          <w:rFonts w:ascii="Times New Roman" w:hAnsi="Times New Roman"/>
          <w:b/>
          <w:color w:val="4A5568"/>
          <w:sz w:val="20"/>
        </w:rPr>
        <w:tab/>
        <w:t>(10)</w:t>
      </w:r>
    </w:p>
    <w:p>
      <w:pPr>
        <w:spacing w:before="0" w:after="100" w:line="276" w:lineRule="auto"/>
        <w:jc w:val="both"/>
      </w:pPr>
      <w:r>
        <w:rPr>
          <w:rFonts w:ascii="Times New Roman" w:hAnsi="Times New Roman"/>
          <w:color w:val="222222"/>
          <w:sz w:val="20"/>
        </w:rPr>
        <w:t>Explainer Comparison Matrix: KernelSHAP evaluates the true discrete INT8 model on disk through forward-pass black-box queries, exposing discrete integer threshold crossings. Conversely, Integrated Gradients computes path integrals over continuous FakeQuant STE surrogates, averaging gradients across continuous lines in parameter space. Comparing both explains why path-integral methods exhibit deceptively high stability while perturbation methods expose discrete boundary warping.</w:t>
      </w:r>
    </w:p>
    <w:p>
      <w:pPr>
        <w:spacing w:before="0" w:after="100" w:line="276" w:lineRule="auto"/>
        <w:jc w:val="both"/>
      </w:pPr>
      <w:r>
        <w:rPr>
          <w:rFonts w:ascii="Times New Roman" w:hAnsi="Times New Roman"/>
          <w:color w:val="222222"/>
          <w:sz w:val="20"/>
        </w:rPr>
        <w:t>Attribution vectors from the baseline phi_FP32 and quantized variant phi_INT8 are evaluated across four mathematical formulations, summarized in Table II.</w:t>
      </w:r>
    </w:p>
    <w:p>
      <w:pPr>
        <w:keepNext/>
        <w:spacing w:before="160" w:after="40"/>
      </w:pPr>
      <w:r>
        <w:rPr>
          <w:rFonts w:ascii="Times New Roman" w:hAnsi="Times New Roman"/>
          <w:b/>
          <w:color w:val="0B2545"/>
          <w:sz w:val="19"/>
        </w:rPr>
        <w:t>TABLE II: MATHEMATICAL ATTRIBUTION DRIFT METRICS AND FORMULATIONS</w:t>
      </w:r>
    </w:p>
    <w:tbl>
      <w:tblPr>
        <w:tblW w:type="auto" w:w="0"/>
        <w:jc w:val="center"/>
        <w:tblLayout w:type="fixed"/>
        <w:tblLook w:firstColumn="1" w:firstRow="1" w:lastColumn="0" w:lastRow="0" w:noHBand="0" w:noVBand="1" w:val="04A0"/>
        <w:tblBorders>
          <w:top w:val="single" w:sz="12" w:space="0" w:color="0B2545"/>
          <w:bottom w:val="single" w:sz="12" w:space="0" w:color="0B2545"/>
          <w:insideH w:val="single" w:sz="4" w:space="0" w:color="CBD5E1"/>
          <w:insideV w:val="none"/>
          <w:left w:val="none"/>
          <w:right w:val="none"/>
        </w:tblBorders>
      </w:tblPr>
      <w:tblGrid>
        <w:gridCol w:w="2340"/>
        <w:gridCol w:w="2340"/>
        <w:gridCol w:w="2340"/>
        <w:gridCol w:w="2340"/>
      </w:tblGrid>
      <w:tr>
        <w:tc>
          <w:tcPr>
            <w:tcW w:type="dxa" w:w="2592"/>
            <w:tcMar>
              <w:top w:w="90" w:type="dxa"/>
              <w:bottom w:w="90" w:type="dxa"/>
              <w:left w:w="110" w:type="dxa"/>
              <w:right w:w="110" w:type="dxa"/>
            </w:tcMar>
            <w:shd w:fill="F0F4F8"/>
          </w:tcPr>
          <w:p>
            <w:pPr>
              <w:spacing w:before="0" w:after="0"/>
              <w:jc w:val="center"/>
            </w:pPr>
            <w:r>
              <w:rPr>
                <w:rFonts w:ascii="Times New Roman" w:hAnsi="Times New Roman"/>
                <w:b/>
                <w:color w:val="0B2545"/>
                <w:sz w:val="18"/>
              </w:rPr>
              <w:t>Metric Name</w:t>
            </w:r>
          </w:p>
        </w:tc>
        <w:tc>
          <w:tcPr>
            <w:tcW w:type="dxa" w:w="3888"/>
            <w:tcMar>
              <w:top w:w="90" w:type="dxa"/>
              <w:bottom w:w="90" w:type="dxa"/>
              <w:left w:w="110" w:type="dxa"/>
              <w:right w:w="110" w:type="dxa"/>
            </w:tcMar>
            <w:shd w:fill="F0F4F8"/>
          </w:tcPr>
          <w:p>
            <w:pPr>
              <w:spacing w:before="0" w:after="0"/>
              <w:jc w:val="center"/>
            </w:pPr>
            <w:r>
              <w:rPr>
                <w:rFonts w:ascii="Times New Roman" w:hAnsi="Times New Roman"/>
                <w:b/>
                <w:color w:val="0B2545"/>
                <w:sz w:val="18"/>
              </w:rPr>
              <w:t>Mathematical Formulation</w:t>
            </w:r>
          </w:p>
        </w:tc>
        <w:tc>
          <w:tcPr>
            <w:tcW w:type="dxa" w:w="1152"/>
            <w:tcMar>
              <w:top w:w="90" w:type="dxa"/>
              <w:bottom w:w="90" w:type="dxa"/>
              <w:left w:w="110" w:type="dxa"/>
              <w:right w:w="110" w:type="dxa"/>
            </w:tcMar>
            <w:shd w:fill="F0F4F8"/>
          </w:tcPr>
          <w:p>
            <w:pPr>
              <w:spacing w:before="0" w:after="0"/>
              <w:jc w:val="center"/>
            </w:pPr>
            <w:r>
              <w:rPr>
                <w:rFonts w:ascii="Times New Roman" w:hAnsi="Times New Roman"/>
                <w:b/>
                <w:color w:val="0B2545"/>
                <w:sz w:val="18"/>
              </w:rPr>
              <w:t>Range</w:t>
            </w:r>
          </w:p>
        </w:tc>
        <w:tc>
          <w:tcPr>
            <w:tcW w:type="dxa" w:w="1728"/>
            <w:tcMar>
              <w:top w:w="90" w:type="dxa"/>
              <w:bottom w:w="90" w:type="dxa"/>
              <w:left w:w="110" w:type="dxa"/>
              <w:right w:w="110" w:type="dxa"/>
            </w:tcMar>
            <w:shd w:fill="F0F4F8"/>
          </w:tcPr>
          <w:p>
            <w:pPr>
              <w:spacing w:before="0" w:after="0"/>
              <w:jc w:val="center"/>
            </w:pPr>
            <w:r>
              <w:rPr>
                <w:rFonts w:ascii="Times New Roman" w:hAnsi="Times New Roman"/>
                <w:b/>
                <w:color w:val="0B2545"/>
                <w:sz w:val="18"/>
              </w:rPr>
              <w:t>Analytical Focus</w:t>
            </w:r>
          </w:p>
        </w:tc>
      </w:tr>
      <w:tr>
        <w:tc>
          <w:tcPr>
            <w:tcW w:type="dxa" w:w="2592"/>
            <w:tcMar>
              <w:top w:w="70" w:type="dxa"/>
              <w:bottom w:w="70" w:type="dxa"/>
              <w:left w:w="110" w:type="dxa"/>
              <w:right w:w="110" w:type="dxa"/>
            </w:tcMar>
          </w:tcPr>
          <w:p>
            <w:pPr>
              <w:jc w:val="left"/>
            </w:pPr>
            <w:r>
              <w:rPr>
                <w:rFonts w:ascii="Times New Roman" w:hAnsi="Times New Roman"/>
                <w:b/>
                <w:color w:val="222222"/>
                <w:sz w:val="17"/>
              </w:rPr>
              <w:t>Top-k Feature IoU</w:t>
            </w:r>
          </w:p>
        </w:tc>
        <w:tc>
          <w:tcPr>
            <w:tcW w:type="dxa" w:w="3888"/>
            <w:tcMar>
              <w:top w:w="70" w:type="dxa"/>
              <w:bottom w:w="70" w:type="dxa"/>
              <w:left w:w="110" w:type="dxa"/>
              <w:right w:w="110" w:type="dxa"/>
            </w:tcMar>
          </w:tcPr>
          <w:p>
            <w:pPr>
              <w:jc w:val="left"/>
            </w:pPr>
            <m:oMath>
              <m:sSub>
                <m:e>
                  <m:r>
                    <m:t>IoU</m:t>
                  </m:r>
                </m:e>
                <m:sub>
                  <m:r>
                    <m:t>feat</m:t>
                  </m:r>
                </m:sub>
              </m:sSub>
              <m:r>
                <m:t> = </m:t>
              </m:r>
              <m:f>
                <m:num>
                  <m:d>
                    <m:dPr>
                      <m:begChr m:val="|"/>
                      <m:endChr m:val="|"/>
                    </m:dPr>
                    <m:e>
                      <m:sSub>
                        <m:e>
                          <m:r>
                            <m:t>𝒯</m:t>
                          </m:r>
                        </m:e>
                        <m:sub>
                          <m:r>
                            <m:t>k</m:t>
                          </m:r>
                        </m:sub>
                      </m:sSub>
                      <m:d>
                        <m:dPr>
                          <m:begChr m:val="("/>
                          <m:endChr m:val=")"/>
                        </m:dPr>
                        <m:e>
                          <m:d>
                            <m:dPr>
                              <m:begChr m:val="|"/>
                              <m:endChr m:val="|"/>
                            </m:dPr>
                            <m:e>
                              <m:sSub>
                                <m:e>
                                  <m:r>
                                    <m:t>ϕ</m:t>
                                  </m:r>
                                </m:e>
                                <m:sub>
                                  <m:r>
                                    <m:t>FP32</m:t>
                                  </m:r>
                                </m:sub>
                              </m:sSub>
                            </m:e>
                          </m:d>
                        </m:e>
                      </m:d>
                      <m:r>
                        <m:t> ∩ </m:t>
                      </m:r>
                      <m:sSub>
                        <m:e>
                          <m:r>
                            <m:t>𝒯</m:t>
                          </m:r>
                        </m:e>
                        <m:sub>
                          <m:r>
                            <m:t>k</m:t>
                          </m:r>
                        </m:sub>
                      </m:sSub>
                      <m:d>
                        <m:dPr>
                          <m:begChr m:val="("/>
                          <m:endChr m:val=")"/>
                        </m:dPr>
                        <m:e>
                          <m:d>
                            <m:dPr>
                              <m:begChr m:val="|"/>
                              <m:endChr m:val="|"/>
                            </m:dPr>
                            <m:e>
                              <m:sSub>
                                <m:e>
                                  <m:r>
                                    <m:t>ϕ</m:t>
                                  </m:r>
                                </m:e>
                                <m:sub>
                                  <m:r>
                                    <m:t>INT8</m:t>
                                  </m:r>
                                </m:sub>
                              </m:sSub>
                            </m:e>
                          </m:d>
                        </m:e>
                      </m:d>
                    </m:e>
                  </m:d>
                </m:num>
                <m:den>
                  <m:d>
                    <m:dPr>
                      <m:begChr m:val="|"/>
                      <m:endChr m:val="|"/>
                    </m:dPr>
                    <m:e>
                      <m:sSub>
                        <m:e>
                          <m:r>
                            <m:t>𝒯</m:t>
                          </m:r>
                        </m:e>
                        <m:sub>
                          <m:r>
                            <m:t>k</m:t>
                          </m:r>
                        </m:sub>
                      </m:sSub>
                      <m:d>
                        <m:dPr>
                          <m:begChr m:val="("/>
                          <m:endChr m:val=")"/>
                        </m:dPr>
                        <m:e>
                          <m:d>
                            <m:dPr>
                              <m:begChr m:val="|"/>
                              <m:endChr m:val="|"/>
                            </m:dPr>
                            <m:e>
                              <m:sSub>
                                <m:e>
                                  <m:r>
                                    <m:t>ϕ</m:t>
                                  </m:r>
                                </m:e>
                                <m:sub>
                                  <m:r>
                                    <m:t>FP32</m:t>
                                  </m:r>
                                </m:sub>
                              </m:sSub>
                            </m:e>
                          </m:d>
                        </m:e>
                      </m:d>
                      <m:r>
                        <m:t> ∪ </m:t>
                      </m:r>
                      <m:sSub>
                        <m:e>
                          <m:r>
                            <m:t>𝒯</m:t>
                          </m:r>
                        </m:e>
                        <m:sub>
                          <m:r>
                            <m:t>k</m:t>
                          </m:r>
                        </m:sub>
                      </m:sSub>
                      <m:d>
                        <m:dPr>
                          <m:begChr m:val="("/>
                          <m:endChr m:val=")"/>
                        </m:dPr>
                        <m:e>
                          <m:d>
                            <m:dPr>
                              <m:begChr m:val="|"/>
                              <m:endChr m:val="|"/>
                            </m:dPr>
                            <m:e>
                              <m:sSub>
                                <m:e>
                                  <m:r>
                                    <m:t>ϕ</m:t>
                                  </m:r>
                                </m:e>
                                <m:sub>
                                  <m:r>
                                    <m:t>INT8</m:t>
                                  </m:r>
                                </m:sub>
                              </m:sSub>
                            </m:e>
                          </m:d>
                        </m:e>
                      </m:d>
                    </m:e>
                  </m:d>
                </m:den>
              </m:f>
            </m:oMath>
          </w:p>
        </w:tc>
        <w:tc>
          <w:tcPr>
            <w:tcW w:type="dxa" w:w="1152"/>
            <w:tcMar>
              <w:top w:w="70" w:type="dxa"/>
              <w:bottom w:w="70" w:type="dxa"/>
              <w:left w:w="110" w:type="dxa"/>
              <w:right w:w="110" w:type="dxa"/>
            </w:tcMar>
          </w:tcPr>
          <w:p>
            <w:pPr>
              <w:jc w:val="center"/>
            </w:pPr>
            <w:r>
              <w:rPr>
                <w:rFonts w:ascii="Times New Roman" w:hAnsi="Times New Roman"/>
                <w:color w:val="222222"/>
                <w:sz w:val="17"/>
              </w:rPr>
              <w:t>[0, 1]</w:t>
            </w:r>
          </w:p>
        </w:tc>
        <w:tc>
          <w:tcPr>
            <w:tcW w:type="dxa" w:w="1728"/>
            <w:tcMar>
              <w:top w:w="70" w:type="dxa"/>
              <w:bottom w:w="70" w:type="dxa"/>
              <w:left w:w="110" w:type="dxa"/>
              <w:right w:w="110" w:type="dxa"/>
            </w:tcMar>
          </w:tcPr>
          <w:p>
            <w:pPr>
              <w:jc w:val="left"/>
            </w:pPr>
            <w:r>
              <w:rPr>
                <w:rFonts w:ascii="Times New Roman" w:hAnsi="Times New Roman"/>
                <w:color w:val="222222"/>
                <w:sz w:val="17"/>
              </w:rPr>
              <w:t>Absolute salient feature overlap</w:t>
            </w:r>
          </w:p>
        </w:tc>
      </w:tr>
      <w:tr>
        <w:tc>
          <w:tcPr>
            <w:tcW w:type="dxa" w:w="2592"/>
            <w:tcMar>
              <w:top w:w="70" w:type="dxa"/>
              <w:bottom w:w="70" w:type="dxa"/>
              <w:left w:w="110" w:type="dxa"/>
              <w:right w:w="110" w:type="dxa"/>
            </w:tcMar>
          </w:tcPr>
          <w:p>
            <w:pPr>
              <w:jc w:val="left"/>
            </w:pPr>
            <w:r>
              <w:rPr>
                <w:rFonts w:ascii="Times New Roman" w:hAnsi="Times New Roman"/>
                <w:b/>
                <w:color w:val="222222"/>
                <w:sz w:val="17"/>
              </w:rPr>
              <w:t>Top-k Packet IoU</w:t>
            </w:r>
          </w:p>
        </w:tc>
        <w:tc>
          <w:tcPr>
            <w:tcW w:type="dxa" w:w="3888"/>
            <w:tcMar>
              <w:top w:w="70" w:type="dxa"/>
              <w:bottom w:w="70" w:type="dxa"/>
              <w:left w:w="110" w:type="dxa"/>
              <w:right w:w="110" w:type="dxa"/>
            </w:tcMar>
          </w:tcPr>
          <w:p>
            <w:pPr>
              <w:jc w:val="left"/>
            </w:pPr>
            <m:oMath>
              <m:sSub>
                <m:e>
                  <m:r>
                    <m:t>IoU</m:t>
                  </m:r>
                </m:e>
                <m:sub>
                  <m:r>
                    <m:t>pkt</m:t>
                  </m:r>
                </m:sub>
              </m:sSub>
              <m:r>
                <m:t> = </m:t>
              </m:r>
              <m:f>
                <m:num>
                  <m:d>
                    <m:dPr>
                      <m:begChr m:val="|"/>
                      <m:endChr m:val="|"/>
                    </m:dPr>
                    <m:e>
                      <m:sSub>
                        <m:e>
                          <m:r>
                            <m:t>𝒯</m:t>
                          </m:r>
                        </m:e>
                        <m:sub>
                          <m:r>
                            <m:t>k</m:t>
                          </m:r>
                        </m:sub>
                      </m:sSub>
                      <m:d>
                        <m:dPr>
                          <m:begChr m:val="("/>
                          <m:endChr m:val=")"/>
                        </m:dPr>
                        <m:e>
                          <m:sSub>
                            <m:e>
                              <m:r>
                                <m:t>ψ</m:t>
                              </m:r>
                            </m:e>
                            <m:sub>
                              <m:r>
                                <m:t>FP32</m:t>
                              </m:r>
                            </m:sub>
                          </m:sSub>
                        </m:e>
                      </m:d>
                      <m:r>
                        <m:t> ∩ </m:t>
                      </m:r>
                      <m:sSub>
                        <m:e>
                          <m:r>
                            <m:t>𝒯</m:t>
                          </m:r>
                        </m:e>
                        <m:sub>
                          <m:r>
                            <m:t>k</m:t>
                          </m:r>
                        </m:sub>
                      </m:sSub>
                      <m:d>
                        <m:dPr>
                          <m:begChr m:val="("/>
                          <m:endChr m:val=")"/>
                        </m:dPr>
                        <m:e>
                          <m:sSub>
                            <m:e>
                              <m:r>
                                <m:t>ψ</m:t>
                              </m:r>
                            </m:e>
                            <m:sub>
                              <m:r>
                                <m:t>INT8</m:t>
                              </m:r>
                            </m:sub>
                          </m:sSub>
                        </m:e>
                      </m:d>
                    </m:e>
                  </m:d>
                </m:num>
                <m:den>
                  <m:d>
                    <m:dPr>
                      <m:begChr m:val="|"/>
                      <m:endChr m:val="|"/>
                    </m:dPr>
                    <m:e>
                      <m:sSub>
                        <m:e>
                          <m:r>
                            <m:t>𝒯</m:t>
                          </m:r>
                        </m:e>
                        <m:sub>
                          <m:r>
                            <m:t>k</m:t>
                          </m:r>
                        </m:sub>
                      </m:sSub>
                      <m:d>
                        <m:dPr>
                          <m:begChr m:val="("/>
                          <m:endChr m:val=")"/>
                        </m:dPr>
                        <m:e>
                          <m:sSub>
                            <m:e>
                              <m:r>
                                <m:t>ψ</m:t>
                              </m:r>
                            </m:e>
                            <m:sub>
                              <m:r>
                                <m:t>FP32</m:t>
                              </m:r>
                            </m:sub>
                          </m:sSub>
                        </m:e>
                      </m:d>
                      <m:r>
                        <m:t> ∪ </m:t>
                      </m:r>
                      <m:sSub>
                        <m:e>
                          <m:r>
                            <m:t>𝒯</m:t>
                          </m:r>
                        </m:e>
                        <m:sub>
                          <m:r>
                            <m:t>k</m:t>
                          </m:r>
                        </m:sub>
                      </m:sSub>
                      <m:d>
                        <m:dPr>
                          <m:begChr m:val="("/>
                          <m:endChr m:val=")"/>
                        </m:dPr>
                        <m:e>
                          <m:sSub>
                            <m:e>
                              <m:r>
                                <m:t>ψ</m:t>
                              </m:r>
                            </m:e>
                            <m:sub>
                              <m:r>
                                <m:t>INT8</m:t>
                              </m:r>
                            </m:sub>
                          </m:sSub>
                        </m:e>
                      </m:d>
                    </m:e>
                  </m:d>
                </m:den>
              </m:f>
              <m:r>
                <m:t>,    </m:t>
              </m:r>
              <m:sSub>
                <m:e>
                  <m:r>
                    <m:t>ψ</m:t>
                  </m:r>
                </m:e>
                <m:sub>
                  <m:r>
                    <m:t>t</m:t>
                  </m:r>
                </m:sub>
              </m:sSub>
              <m:r>
                <m:t> = |</m:t>
              </m:r>
              <m:sSub>
                <m:e>
                  <m:r>
                    <m:t>ϕ</m:t>
                  </m:r>
                </m:e>
                <m:sub>
                  <m:r>
                    <m:t>0,t</m:t>
                  </m:r>
                </m:sub>
              </m:sSub>
              <m:r>
                <m:t>| + |</m:t>
              </m:r>
              <m:sSub>
                <m:e>
                  <m:r>
                    <m:t>ϕ</m:t>
                  </m:r>
                </m:e>
                <m:sub>
                  <m:r>
                    <m:t>1,t</m:t>
                  </m:r>
                </m:sub>
              </m:sSub>
              <m:r>
                <m:t>|</m:t>
              </m:r>
            </m:oMath>
          </w:p>
        </w:tc>
        <w:tc>
          <w:tcPr>
            <w:tcW w:type="dxa" w:w="1152"/>
            <w:tcMar>
              <w:top w:w="70" w:type="dxa"/>
              <w:bottom w:w="70" w:type="dxa"/>
              <w:left w:w="110" w:type="dxa"/>
              <w:right w:w="110" w:type="dxa"/>
            </w:tcMar>
          </w:tcPr>
          <w:p>
            <w:pPr>
              <w:jc w:val="center"/>
            </w:pPr>
            <w:r>
              <w:rPr>
                <w:rFonts w:ascii="Times New Roman" w:hAnsi="Times New Roman"/>
                <w:color w:val="222222"/>
                <w:sz w:val="17"/>
              </w:rPr>
              <w:t>[0, 1]</w:t>
            </w:r>
          </w:p>
        </w:tc>
        <w:tc>
          <w:tcPr>
            <w:tcW w:type="dxa" w:w="1728"/>
            <w:tcMar>
              <w:top w:w="70" w:type="dxa"/>
              <w:bottom w:w="70" w:type="dxa"/>
              <w:left w:w="110" w:type="dxa"/>
              <w:right w:w="110" w:type="dxa"/>
            </w:tcMar>
          </w:tcPr>
          <w:p>
            <w:pPr>
              <w:jc w:val="left"/>
            </w:pPr>
            <w:r>
              <w:rPr>
                <w:rFonts w:ascii="Times New Roman" w:hAnsi="Times New Roman"/>
                <w:color w:val="222222"/>
                <w:sz w:val="17"/>
              </w:rPr>
              <w:t>Channel-collapsed packet shifts</w:t>
            </w:r>
          </w:p>
        </w:tc>
      </w:tr>
      <w:tr>
        <w:tc>
          <w:tcPr>
            <w:tcW w:type="dxa" w:w="2592"/>
            <w:tcMar>
              <w:top w:w="70" w:type="dxa"/>
              <w:bottom w:w="70" w:type="dxa"/>
              <w:left w:w="110" w:type="dxa"/>
              <w:right w:w="110" w:type="dxa"/>
            </w:tcMar>
          </w:tcPr>
          <w:p>
            <w:pPr>
              <w:jc w:val="left"/>
            </w:pPr>
            <w:r>
              <w:rPr>
                <w:rFonts w:ascii="Times New Roman" w:hAnsi="Times New Roman"/>
                <w:b/>
                <w:color w:val="222222"/>
                <w:sz w:val="17"/>
              </w:rPr>
              <w:t>Tie-Corrected rho</w:t>
            </w:r>
          </w:p>
        </w:tc>
        <w:tc>
          <w:tcPr>
            <w:tcW w:type="dxa" w:w="3888"/>
            <w:tcMar>
              <w:top w:w="70" w:type="dxa"/>
              <w:bottom w:w="70" w:type="dxa"/>
              <w:left w:w="110" w:type="dxa"/>
              <w:right w:w="110" w:type="dxa"/>
            </w:tcMar>
          </w:tcPr>
          <w:p>
            <w:pPr>
              <w:jc w:val="left"/>
            </w:pPr>
            <m:oMath>
              <m:r>
                <m:t>ρ = </m:t>
              </m:r>
              <m:f>
                <m:num>
                  <m:r>
                    <m:t>Cov</m:t>
                  </m:r>
                  <m:d>
                    <m:dPr>
                      <m:begChr m:val="("/>
                      <m:endChr m:val=")"/>
                    </m:dPr>
                    <m:e>
                      <m:sSub>
                        <m:e>
                          <m:r>
                            <m:t>R</m:t>
                          </m:r>
                        </m:e>
                        <m:sub>
                          <m:r>
                            <m:t>FP32</m:t>
                          </m:r>
                        </m:sub>
                      </m:sSub>
                      <m:r>
                        <m:t>, </m:t>
                      </m:r>
                      <m:sSub>
                        <m:e>
                          <m:r>
                            <m:t>R</m:t>
                          </m:r>
                        </m:e>
                        <m:sub>
                          <m:r>
                            <m:t>INT8</m:t>
                          </m:r>
                        </m:sub>
                      </m:sSub>
                    </m:e>
                  </m:d>
                </m:num>
                <m:den>
                  <m:sSub>
                    <m:e>
                      <m:r>
                        <m:t>σ</m:t>
                      </m:r>
                    </m:e>
                    <m:sub>
                      <m:sSub>
                        <m:e>
                          <m:r>
                            <m:t>R</m:t>
                          </m:r>
                        </m:e>
                        <m:sub>
                          <m:r>
                            <m:t>FP32</m:t>
                          </m:r>
                        </m:sub>
                      </m:sSub>
                    </m:sub>
                  </m:sSub>
                  <m:r>
                    <m:t> · </m:t>
                  </m:r>
                  <m:sSub>
                    <m:e>
                      <m:r>
                        <m:t>σ</m:t>
                      </m:r>
                    </m:e>
                    <m:sub>
                      <m:sSub>
                        <m:e>
                          <m:r>
                            <m:t>R</m:t>
                          </m:r>
                        </m:e>
                        <m:sub>
                          <m:r>
                            <m:t>INT8</m:t>
                          </m:r>
                        </m:sub>
                      </m:sSub>
                    </m:sub>
                  </m:sSub>
                </m:den>
              </m:f>
            </m:oMath>
          </w:p>
        </w:tc>
        <w:tc>
          <w:tcPr>
            <w:tcW w:type="dxa" w:w="1152"/>
            <w:tcMar>
              <w:top w:w="70" w:type="dxa"/>
              <w:bottom w:w="70" w:type="dxa"/>
              <w:left w:w="110" w:type="dxa"/>
              <w:right w:w="110" w:type="dxa"/>
            </w:tcMar>
          </w:tcPr>
          <w:p>
            <w:pPr>
              <w:jc w:val="center"/>
            </w:pPr>
            <w:r>
              <w:rPr>
                <w:rFonts w:ascii="Times New Roman" w:hAnsi="Times New Roman"/>
                <w:color w:val="222222"/>
                <w:sz w:val="17"/>
              </w:rPr>
              <w:t>[-1, 1]</w:t>
            </w:r>
          </w:p>
        </w:tc>
        <w:tc>
          <w:tcPr>
            <w:tcW w:type="dxa" w:w="1728"/>
            <w:tcMar>
              <w:top w:w="70" w:type="dxa"/>
              <w:bottom w:w="70" w:type="dxa"/>
              <w:left w:w="110" w:type="dxa"/>
              <w:right w:w="110" w:type="dxa"/>
            </w:tcMar>
          </w:tcPr>
          <w:p>
            <w:pPr>
              <w:jc w:val="left"/>
            </w:pPr>
            <w:r>
              <w:rPr>
                <w:rFonts w:ascii="Times New Roman" w:hAnsi="Times New Roman"/>
                <w:color w:val="222222"/>
                <w:sz w:val="17"/>
              </w:rPr>
              <w:t>Global monotonic rank fidelity (SciPy)</w:t>
            </w:r>
          </w:p>
        </w:tc>
      </w:tr>
      <w:tr>
        <w:tc>
          <w:tcPr>
            <w:tcW w:type="dxa" w:w="2592"/>
            <w:tcMar>
              <w:top w:w="70" w:type="dxa"/>
              <w:bottom w:w="70" w:type="dxa"/>
              <w:left w:w="110" w:type="dxa"/>
              <w:right w:w="110" w:type="dxa"/>
            </w:tcMar>
          </w:tcPr>
          <w:p>
            <w:pPr>
              <w:jc w:val="left"/>
            </w:pPr>
            <w:r>
              <w:rPr>
                <w:rFonts w:ascii="Times New Roman" w:hAnsi="Times New Roman"/>
                <w:b/>
                <w:color w:val="222222"/>
                <w:sz w:val="17"/>
              </w:rPr>
              <w:t>Normalized L2 Dist.</w:t>
            </w:r>
          </w:p>
        </w:tc>
        <w:tc>
          <w:tcPr>
            <w:tcW w:type="dxa" w:w="3888"/>
            <w:tcMar>
              <w:top w:w="70" w:type="dxa"/>
              <w:bottom w:w="70" w:type="dxa"/>
              <w:left w:w="110" w:type="dxa"/>
              <w:right w:w="110" w:type="dxa"/>
            </w:tcMar>
          </w:tcPr>
          <w:p>
            <w:pPr>
              <w:jc w:val="left"/>
            </w:pPr>
            <m:oMath>
              <m:sSub>
                <m:e>
                  <m:r>
                    <m:t>D</m:t>
                  </m:r>
                </m:e>
                <m:sub>
                  <m:r>
                    <m:t>L2</m:t>
                  </m:r>
                </m:sub>
              </m:sSub>
              <m:r>
                <m:t> = </m:t>
              </m:r>
              <m:f>
                <m:num>
                  <m:r>
                    <m:t>1</m:t>
                  </m:r>
                </m:num>
                <m:den>
                  <m:rad>
                    <m:radPr>
                      <m:degHide m:val="1"/>
                    </m:radPr>
                    <m:e>
                      <m:r>
                        <m:t>2</m:t>
                      </m:r>
                    </m:e>
                  </m:rad>
                </m:den>
              </m:f>
              <m:sSub>
                <m:e>
                  <m:d>
                    <m:dPr>
                      <m:begChr m:val="‖"/>
                      <m:endChr m:val="‖"/>
                    </m:dPr>
                    <m:e>
                      <m:f>
                        <m:num>
                          <m:sSub>
                            <m:e>
                              <m:r>
                                <m:t>ϕ</m:t>
                              </m:r>
                            </m:e>
                            <m:sub>
                              <m:r>
                                <m:t>FP32</m:t>
                              </m:r>
                            </m:sub>
                          </m:sSub>
                        </m:num>
                        <m:den>
                          <m:sSub>
                            <m:e>
                              <m:d>
                                <m:dPr>
                                  <m:begChr m:val="‖"/>
                                  <m:endChr m:val="‖"/>
                                </m:dPr>
                                <m:e>
                                  <m:sSub>
                                    <m:e>
                                      <m:r>
                                        <m:t>ϕ</m:t>
                                      </m:r>
                                    </m:e>
                                    <m:sub>
                                      <m:r>
                                        <m:t>FP32</m:t>
                                      </m:r>
                                    </m:sub>
                                  </m:sSub>
                                </m:e>
                              </m:d>
                            </m:e>
                            <m:sub>
                              <m:r>
                                <m:t>2</m:t>
                              </m:r>
                            </m:sub>
                          </m:sSub>
                        </m:den>
                      </m:f>
                      <m:r>
                        <m:t> - </m:t>
                      </m:r>
                      <m:f>
                        <m:num>
                          <m:sSub>
                            <m:e>
                              <m:r>
                                <m:t>ϕ</m:t>
                              </m:r>
                            </m:e>
                            <m:sub>
                              <m:r>
                                <m:t>INT8</m:t>
                              </m:r>
                            </m:sub>
                          </m:sSub>
                        </m:num>
                        <m:den>
                          <m:sSub>
                            <m:e>
                              <m:d>
                                <m:dPr>
                                  <m:begChr m:val="‖"/>
                                  <m:endChr m:val="‖"/>
                                </m:dPr>
                                <m:e>
                                  <m:sSub>
                                    <m:e>
                                      <m:r>
                                        <m:t>ϕ</m:t>
                                      </m:r>
                                    </m:e>
                                    <m:sub>
                                      <m:r>
                                        <m:t>INT8</m:t>
                                      </m:r>
                                    </m:sub>
                                  </m:sSub>
                                </m:e>
                              </m:d>
                            </m:e>
                            <m:sub>
                              <m:r>
                                <m:t>2</m:t>
                              </m:r>
                            </m:sub>
                          </m:sSub>
                        </m:den>
                      </m:f>
                    </m:e>
                  </m:d>
                </m:e>
                <m:sub>
                  <m:r>
                    <m:t>2</m:t>
                  </m:r>
                </m:sub>
              </m:sSub>
            </m:oMath>
          </w:p>
        </w:tc>
        <w:tc>
          <w:tcPr>
            <w:tcW w:type="dxa" w:w="1152"/>
            <w:tcMar>
              <w:top w:w="70" w:type="dxa"/>
              <w:bottom w:w="70" w:type="dxa"/>
              <w:left w:w="110" w:type="dxa"/>
              <w:right w:w="110" w:type="dxa"/>
            </w:tcMar>
          </w:tcPr>
          <w:p>
            <w:pPr>
              <w:jc w:val="center"/>
            </w:pPr>
            <w:r>
              <w:rPr>
                <w:rFonts w:ascii="Times New Roman" w:hAnsi="Times New Roman"/>
                <w:color w:val="222222"/>
                <w:sz w:val="17"/>
              </w:rPr>
              <w:t>[0, 1]*</w:t>
            </w:r>
          </w:p>
        </w:tc>
        <w:tc>
          <w:tcPr>
            <w:tcW w:type="dxa" w:w="1728"/>
            <w:tcMar>
              <w:top w:w="70" w:type="dxa"/>
              <w:bottom w:w="70" w:type="dxa"/>
              <w:left w:w="110" w:type="dxa"/>
              <w:right w:w="110" w:type="dxa"/>
            </w:tcMar>
          </w:tcPr>
          <w:p>
            <w:pPr>
              <w:jc w:val="left"/>
            </w:pPr>
            <w:r>
              <w:rPr>
                <w:rFonts w:ascii="Times New Roman" w:hAnsi="Times New Roman"/>
                <w:color w:val="222222"/>
                <w:sz w:val="17"/>
              </w:rPr>
              <w:t>Normalized vector displacement ([0, 1] for |phi|&gt;=0; [0, sqrt(2)] for signed phi; 0 fallback if ||phi||=0)</w:t>
            </w:r>
          </w:p>
        </w:tc>
      </w:tr>
    </w:tbl>
    <w:p>
      <w:pPr>
        <w:spacing w:before="0" w:after="120"/>
      </w:pPr>
    </w:p>
    <w:p>
      <w:pPr>
        <w:spacing w:before="0" w:after="100" w:line="276" w:lineRule="auto"/>
        <w:jc w:val="both"/>
      </w:pPr>
      <w:r>
        <w:rPr>
          <w:rFonts w:ascii="Times New Roman" w:hAnsi="Times New Roman"/>
          <w:color w:val="222222"/>
          <w:sz w:val="20"/>
        </w:rPr>
        <w:t>Multi-Seed Variance Estimation &amp; Explainer Noise Decoupling: To decouple explainer sampling stochasticity from model quantization drift, KernelSHAP is evaluated across five independent pseudorandom seeds s in {42, 101, 777, 999, 2024} on 20 benchmark flows with N_samples = 150. Pairwise seed correlations establish the explainer noise floor: sigma_explainer = Std({ rho( phi^{(s_a)}, phi^{(s_b)} ) | a != b }). Empirical explainer variance remains low (sigma_explainer = 0.043), demonstrating that observed quantization drift (Delta_INT8 ≈ 0.45 drop in IoU) is an order of magnitude larger than sampling noise.</w:t>
      </w:r>
    </w:p>
    <w:p>
      <w:pPr>
        <w:keepNext/>
        <w:spacing w:before="200" w:after="60"/>
      </w:pPr>
      <w:r>
        <w:rPr>
          <w:rFonts w:ascii="Times New Roman" w:hAnsi="Times New Roman"/>
          <w:b/>
          <w:color w:val="134074"/>
          <w:sz w:val="22"/>
        </w:rPr>
        <w:t>1.6 Statistical Significance, Confounder Analysis &amp; Chance Baselines</w:t>
      </w:r>
    </w:p>
    <w:p>
      <w:pPr>
        <w:spacing w:before="0" w:after="100" w:line="276" w:lineRule="auto"/>
        <w:jc w:val="both"/>
      </w:pPr>
      <w:r>
        <w:rPr>
          <w:rFonts w:ascii="Times New Roman" w:hAnsi="Times New Roman"/>
          <w:color w:val="222222"/>
          <w:sz w:val="20"/>
        </w:rPr>
        <w:t>Non-Parametric Hypothesis Testing &amp; Paired Evaluations: Because attribution distributions exhibit skewness and boundary clustering near 0 and 1, differences between cohort medians (VPN vs. Non-VPN) are evaluated using two-sided Mann–Whitney U tests. Effect magnitudes are quantified via Rank-Biserial Correlation: r_rb = 1 - (2U) / (n_1 * n_2), where n_1 = 373 and n_2 = 373. Crucially, to evaluate intra-flow stability between paired baseline and quantized representations (phi_FP32^{(i)} vs phi_INT8^{(i)}), two-sided Wilcoxon signed-rank tests and 10,000-iteration bootstrap resampling are computed, deriving rigorous 95% confidence intervals on per-flow attribution shifts.</w:t>
      </w:r>
    </w:p>
    <w:p>
      <w:pPr>
        <w:spacing w:before="0" w:after="100" w:line="276" w:lineRule="auto"/>
        <w:jc w:val="both"/>
      </w:pPr>
      <w:r>
        <w:rPr>
          <w:rFonts w:ascii="Times New Roman" w:hAnsi="Times New Roman"/>
          <w:color w:val="222222"/>
          <w:sz w:val="20"/>
        </w:rPr>
        <w:t>Econometric Confounder Regressions: To examine associations between flow duration, protocol encapsulation, and attribution agreement, univariate and multivariate Ordinary Least Squares (OLS) regressions are estimated across all 746 test flows:</w:t>
      </w:r>
    </w:p>
    <w:p>
      <w:pPr>
        <w:tabs>
          <w:tab w:pos="9360" w:val="right"/>
        </w:tabs>
        <w:spacing w:before="80" w:after="100" w:line="276" w:lineRule="auto"/>
        <w:ind w:left="576"/>
      </w:pPr>
      <m:oMath>
        <m:sSub>
          <m:e>
            <m:r>
              <m:t>IoU</m:t>
            </m:r>
          </m:e>
          <m:sub>
            <m:r>
              <m:t>i</m:t>
            </m:r>
          </m:sub>
        </m:sSub>
        <m:r>
          <m:t> = </m:t>
        </m:r>
        <m:sSub>
          <m:e>
            <m:r>
              <m:t>β</m:t>
            </m:r>
          </m:e>
          <m:sub>
            <m:r>
              <m:t>0</m:t>
            </m:r>
          </m:sub>
        </m:sSub>
        <m:r>
          <m:t> + </m:t>
        </m:r>
        <m:sSub>
          <m:e>
            <m:r>
              <m:t>β</m:t>
            </m:r>
          </m:e>
          <m:sub>
            <m:r>
              <m:t>1</m:t>
            </m:r>
          </m:sub>
        </m:sSub>
        <m:r>
          <m:t> · </m:t>
        </m:r>
        <m:sSub>
          <m:e>
            <m:r>
              <m:t>L</m:t>
            </m:r>
          </m:e>
          <m:sub>
            <m:r>
              <m:t>i</m:t>
            </m:r>
          </m:sub>
        </m:sSub>
        <m:r>
          <m:t> + </m:t>
        </m:r>
        <m:sSub>
          <m:e>
            <m:r>
              <m:t>ε</m:t>
            </m:r>
          </m:e>
          <m:sub>
            <m:r>
              <m:t>i</m:t>
            </m:r>
          </m:sub>
        </m:sSub>
      </m:oMath>
      <w:r>
        <w:rPr>
          <w:rFonts w:ascii="Times New Roman" w:hAnsi="Times New Roman"/>
          <w:b/>
          <w:color w:val="4A5568"/>
          <w:sz w:val="20"/>
        </w:rPr>
        <w:tab/>
        <w:t>(11)</w:t>
      </w:r>
    </w:p>
    <w:p>
      <w:pPr>
        <w:tabs>
          <w:tab w:pos="9360" w:val="right"/>
        </w:tabs>
        <w:spacing w:before="80" w:after="100" w:line="276" w:lineRule="auto"/>
        <w:ind w:left="576"/>
      </w:pPr>
      <m:oMath>
        <m:sSub>
          <m:e>
            <m:r>
              <m:t>IoU</m:t>
            </m:r>
          </m:e>
          <m:sub>
            <m:r>
              <m:t>i</m:t>
            </m:r>
          </m:sub>
        </m:sSub>
        <m:r>
          <m:t> = </m:t>
        </m:r>
        <m:sSub>
          <m:e>
            <m:r>
              <m:t>β</m:t>
            </m:r>
          </m:e>
          <m:sub>
            <m:r>
              <m:t>0</m:t>
            </m:r>
          </m:sub>
        </m:sSub>
        <m:r>
          <m:t> + </m:t>
        </m:r>
        <m:sSub>
          <m:e>
            <m:r>
              <m:t>β</m:t>
            </m:r>
          </m:e>
          <m:sub>
            <m:r>
              <m:t>L</m:t>
            </m:r>
          </m:sub>
        </m:sSub>
        <m:r>
          <m:t> · </m:t>
        </m:r>
        <m:sSub>
          <m:e>
            <m:r>
              <m:t>L</m:t>
            </m:r>
          </m:e>
          <m:sub>
            <m:r>
              <m:t>i</m:t>
            </m:r>
          </m:sub>
        </m:sSub>
        <m:r>
          <m:t> + </m:t>
        </m:r>
        <m:sSub>
          <m:e>
            <m:r>
              <m:t>β</m:t>
            </m:r>
          </m:e>
          <m:sub>
            <m:r>
              <m:t>VPN</m:t>
            </m:r>
          </m:sub>
        </m:sSub>
        <m:r>
          <m:t> · </m:t>
        </m:r>
        <m:sSub>
          <m:e>
            <m:r>
              <m:t>y</m:t>
            </m:r>
          </m:e>
          <m:sub>
            <m:r>
              <m:t>i</m:t>
            </m:r>
          </m:sub>
        </m:sSub>
        <m:r>
          <m:t> + </m:t>
        </m:r>
        <m:sSub>
          <m:e>
            <m:r>
              <m:t>β</m:t>
            </m:r>
          </m:e>
          <m:sub>
            <m:r>
              <m:t>LV</m:t>
            </m:r>
          </m:sub>
        </m:sSub>
        <m:r>
          <m:t> · </m:t>
        </m:r>
        <m:d>
          <m:dPr>
            <m:begChr m:val="("/>
            <m:endChr m:val=")"/>
          </m:dPr>
          <m:e>
            <m:sSub>
              <m:e>
                <m:r>
                  <m:t>L</m:t>
                </m:r>
              </m:e>
              <m:sub>
                <m:r>
                  <m:t>i</m:t>
                </m:r>
              </m:sub>
            </m:sSub>
            <m:r>
              <m:t> · </m:t>
            </m:r>
            <m:sSub>
              <m:e>
                <m:r>
                  <m:t>y</m:t>
                </m:r>
              </m:e>
              <m:sub>
                <m:r>
                  <m:t>i</m:t>
                </m:r>
              </m:sub>
            </m:sSub>
          </m:e>
        </m:d>
        <m:r>
          <m:t> + </m:t>
        </m:r>
        <m:sSub>
          <m:e>
            <m:r>
              <m:t>ε</m:t>
            </m:r>
          </m:e>
          <m:sub>
            <m:r>
              <m:t>i</m:t>
            </m:r>
          </m:sub>
        </m:sSub>
      </m:oMath>
      <w:r>
        <w:rPr>
          <w:rFonts w:ascii="Times New Roman" w:hAnsi="Times New Roman"/>
          <w:b/>
          <w:color w:val="4A5568"/>
          <w:sz w:val="20"/>
        </w:rPr>
        <w:tab/>
        <w:t>(12)</w:t>
      </w:r>
    </w:p>
    <w:p>
      <w:pPr>
        <w:spacing w:before="0" w:after="100" w:line="276" w:lineRule="auto"/>
        <w:jc w:val="both"/>
      </w:pPr>
      <w:r>
        <w:rPr>
          <w:rFonts w:ascii="Times New Roman" w:hAnsi="Times New Roman"/>
          <w:color w:val="222222"/>
          <w:sz w:val="20"/>
        </w:rPr>
        <w:t>where y_i in {0, 1} denotes VPN status and beta_LV captures the interaction between sequence length and protocol encapsulation. We interpret beta_VPN and beta_LV strictly as conditional statistical associations under the specified linear model rather than unadjusted causal claims. Cluster-robust standard errors at the raw PCAP capture level are estimated to account for potential within-capture dependence across concurrent flows.</w:t>
      </w:r>
    </w:p>
    <w:p>
      <w:pPr>
        <w:spacing w:before="0" w:after="100" w:line="276" w:lineRule="auto"/>
        <w:jc w:val="both"/>
      </w:pPr>
      <w:r>
        <w:rPr>
          <w:rFonts w:ascii="Times New Roman" w:hAnsi="Times New Roman"/>
          <w:color w:val="222222"/>
          <w:sz w:val="20"/>
        </w:rPr>
        <w:t>Theoretical Hypergeometric Chance Baseline: To control for candidate pool expansion as flow length L increases, the theoretical random chance expectation for Top-k IoU is derived. Let two independent random agents select subsets A, B subset {1, ..., M} of size k = min(5, M) uniformly without replacement from M = 2L active candidate features. The intersection size X = |A n B| follows a Hypergeometric distribution with feasible limits x in [max(0, 2k - M), k]. The exact expected Jaccard index under random chance is:</w:t>
      </w:r>
    </w:p>
    <w:p>
      <w:pPr>
        <w:tabs>
          <w:tab w:pos="9360" w:val="right"/>
        </w:tabs>
        <w:spacing w:before="80" w:after="100" w:line="276" w:lineRule="auto"/>
        <w:ind w:left="576"/>
      </w:pPr>
      <m:oMath>
        <m:r>
          <m:t>𝔼[</m:t>
        </m:r>
        <m:sSub>
          <m:e>
            <m:r>
              <m:t>IoU</m:t>
            </m:r>
          </m:e>
          <m:sub>
            <m:r>
              <m:t>chance</m:t>
            </m:r>
          </m:sub>
        </m:sSub>
        <m:r>
          <m:t>(M, k)] = </m:t>
        </m:r>
        <m:nary>
          <m:naryPr>
            <m:chr m:val="∑"/>
          </m:naryPr>
          <m:sub>
            <m:r>
              <m:t>x=x_min</m:t>
            </m:r>
          </m:sub>
          <m:sup>
            <m:r>
              <m:t>k</m:t>
            </m:r>
          </m:sup>
          <m:e>
            <m:d>
              <m:dPr>
                <m:begChr m:val="("/>
                <m:endChr m:val=")"/>
              </m:dPr>
              <m:e>
                <m:f>
                  <m:num>
                    <m:r>
                      <m:t>x</m:t>
                    </m:r>
                  </m:num>
                  <m:den>
                    <m:r>
                      <m:t>2k - x</m:t>
                    </m:r>
                  </m:den>
                </m:f>
              </m:e>
            </m:d>
            <m:r>
              <m:t> · </m:t>
            </m:r>
            <m:f>
              <m:num>
                <m:d>
                  <m:dPr>
                    <m:begChr m:val="("/>
                    <m:endChr m:val=")"/>
                  </m:dPr>
                  <m:e>
                    <m:f>
                      <m:num>
                        <m:r>
                          <m:t>k</m:t>
                        </m:r>
                      </m:num>
                      <m:den>
                        <m:r>
                          <m:t>x</m:t>
                        </m:r>
                      </m:den>
                    </m:f>
                  </m:e>
                </m:d>
                <m:r>
                  <m:t> · </m:t>
                </m:r>
                <m:d>
                  <m:dPr>
                    <m:begChr m:val="("/>
                    <m:endChr m:val=")"/>
                  </m:dPr>
                  <m:e>
                    <m:f>
                      <m:num>
                        <m:r>
                          <m:t>M - k</m:t>
                        </m:r>
                      </m:num>
                      <m:den>
                        <m:r>
                          <m:t>k - x</m:t>
                        </m:r>
                      </m:den>
                    </m:f>
                  </m:e>
                </m:d>
              </m:num>
              <m:den>
                <m:d>
                  <m:dPr>
                    <m:begChr m:val="("/>
                    <m:endChr m:val=")"/>
                  </m:dPr>
                  <m:e>
                    <m:f>
                      <m:num>
                        <m:r>
                          <m:t>M</m:t>
                        </m:r>
                      </m:num>
                      <m:den>
                        <m:r>
                          <m:t>k</m:t>
                        </m:r>
                      </m:den>
                    </m:f>
                  </m:e>
                </m:d>
              </m:den>
            </m:f>
          </m:e>
        </m:nary>
      </m:oMath>
      <w:r>
        <w:rPr>
          <w:rFonts w:ascii="Times New Roman" w:hAnsi="Times New Roman"/>
          <w:b/>
          <w:color w:val="4A5568"/>
          <w:sz w:val="20"/>
        </w:rPr>
        <w:tab/>
        <w:t>(13)</w:t>
      </w:r>
    </w:p>
    <w:p>
      <w:pPr>
        <w:spacing w:before="0" w:after="100" w:line="276" w:lineRule="auto"/>
        <w:jc w:val="both"/>
      </w:pPr>
      <w:r>
        <w:rPr>
          <w:rFonts w:ascii="Times New Roman" w:hAnsi="Times New Roman"/>
          <w:color w:val="222222"/>
          <w:sz w:val="20"/>
        </w:rPr>
        <w:t>Discrete Single-Flow IoU Clarification: Note that for individual pairs of 5-element feature sets (k = 5), the intersection cardinality |A n B| takes integer values in {0, 1, 2, 3, 4, 5}, constraining individual-flow IoU to the discrete set {0.0, 1/9 ≈ 0.111, 2/8 = 0.250, 3/7 ≈ 0.429, 4/6 ≈ 0.667, 1.0}. Reported continuous figures (e.g., Non-VPN Top-5 IoU = 0.7839; VPN Top-5 IoU = 0.3281) represent cohort means averaged across the 373 flows in each evaluation class, illustrating a substantial empirical retention margin above the theoretical random floor.</w:t>
      </w:r>
    </w:p>
    <w:p>
      <w:pPr>
        <w:spacing w:before="0" w:after="100" w:line="276" w:lineRule="auto"/>
        <w:jc w:val="both"/>
      </w:pPr>
      <w:r>
        <w:rPr>
          <w:rFonts w:ascii="Times New Roman" w:hAnsi="Times New Roman"/>
          <w:color w:val="222222"/>
          <w:sz w:val="20"/>
        </w:rPr>
        <w:t>Table III compares the theoretical chance baseline against empirical Top-5 IoU across sequence length benchmarks.</w:t>
      </w:r>
    </w:p>
    <w:p>
      <w:pPr>
        <w:keepNext/>
        <w:spacing w:before="160" w:after="40"/>
      </w:pPr>
      <w:r>
        <w:rPr>
          <w:rFonts w:ascii="Times New Roman" w:hAnsi="Times New Roman"/>
          <w:b/>
          <w:color w:val="0B2545"/>
          <w:sz w:val="19"/>
        </w:rPr>
        <w:t>TABLE III: HYPERGEOMETRIC CHANCE BASELINE VS. EMPIRICAL EXPLANATION STABILITY</w:t>
      </w:r>
    </w:p>
    <w:tbl>
      <w:tblPr>
        <w:tblW w:type="auto" w:w="0"/>
        <w:jc w:val="center"/>
        <w:tblLayout w:type="fixed"/>
        <w:tblLook w:firstColumn="1" w:firstRow="1" w:lastColumn="0" w:lastRow="0" w:noHBand="0" w:noVBand="1" w:val="04A0"/>
        <w:tblBorders>
          <w:top w:val="single" w:sz="12" w:space="0" w:color="0B2545"/>
          <w:bottom w:val="single" w:sz="12" w:space="0" w:color="0B2545"/>
          <w:insideH w:val="single" w:sz="4" w:space="0" w:color="CBD5E1"/>
          <w:insideV w:val="none"/>
          <w:left w:val="none"/>
          <w:right w:val="none"/>
        </w:tblBorders>
      </w:tblPr>
      <w:tblGrid>
        <w:gridCol w:w="1560"/>
        <w:gridCol w:w="1560"/>
        <w:gridCol w:w="1560"/>
        <w:gridCol w:w="1560"/>
        <w:gridCol w:w="1560"/>
        <w:gridCol w:w="1560"/>
      </w:tblGrid>
      <w:tr>
        <w:tc>
          <w:tcPr>
            <w:tcW w:type="dxa" w:w="2016"/>
            <w:tcMar>
              <w:top w:w="90" w:type="dxa"/>
              <w:bottom w:w="90" w:type="dxa"/>
              <w:left w:w="110" w:type="dxa"/>
              <w:right w:w="110" w:type="dxa"/>
            </w:tcMar>
            <w:shd w:fill="F0F4F8"/>
          </w:tcPr>
          <w:p>
            <w:pPr>
              <w:spacing w:before="0" w:after="0"/>
              <w:jc w:val="center"/>
            </w:pPr>
            <w:r>
              <w:rPr>
                <w:rFonts w:ascii="Times New Roman" w:hAnsi="Times New Roman"/>
                <w:b/>
                <w:color w:val="0B2545"/>
                <w:sz w:val="17"/>
              </w:rPr>
              <w:t>Sequence Length (L)</w:t>
            </w:r>
          </w:p>
        </w:tc>
        <w:tc>
          <w:tcPr>
            <w:tcW w:type="dxa" w:w="1584"/>
            <w:tcMar>
              <w:top w:w="90" w:type="dxa"/>
              <w:bottom w:w="90" w:type="dxa"/>
              <w:left w:w="110" w:type="dxa"/>
              <w:right w:w="110" w:type="dxa"/>
            </w:tcMar>
            <w:shd w:fill="F0F4F8"/>
          </w:tcPr>
          <w:p>
            <w:pPr>
              <w:spacing w:before="0" w:after="0"/>
              <w:jc w:val="center"/>
            </w:pPr>
            <w:r>
              <w:rPr>
                <w:rFonts w:ascii="Times New Roman" w:hAnsi="Times New Roman"/>
                <w:b/>
                <w:color w:val="0B2545"/>
                <w:sz w:val="17"/>
              </w:rPr>
              <w:t>Active Features (M)</w:t>
            </w:r>
          </w:p>
        </w:tc>
        <w:tc>
          <w:tcPr>
            <w:tcW w:type="dxa" w:w="1584"/>
            <w:tcMar>
              <w:top w:w="90" w:type="dxa"/>
              <w:bottom w:w="90" w:type="dxa"/>
              <w:left w:w="110" w:type="dxa"/>
              <w:right w:w="110" w:type="dxa"/>
            </w:tcMar>
            <w:shd w:fill="F0F4F8"/>
          </w:tcPr>
          <w:p>
            <w:pPr>
              <w:spacing w:before="0" w:after="0"/>
              <w:jc w:val="center"/>
            </w:pPr>
            <w:r>
              <w:rPr>
                <w:rFonts w:ascii="Times New Roman" w:hAnsi="Times New Roman"/>
                <w:b/>
                <w:color w:val="0B2545"/>
                <w:sz w:val="17"/>
              </w:rPr>
              <w:t>Chance Top-5 IoU</w:t>
            </w:r>
          </w:p>
        </w:tc>
        <w:tc>
          <w:tcPr>
            <w:tcW w:type="dxa" w:w="1584"/>
            <w:tcMar>
              <w:top w:w="90" w:type="dxa"/>
              <w:bottom w:w="90" w:type="dxa"/>
              <w:left w:w="110" w:type="dxa"/>
              <w:right w:w="110" w:type="dxa"/>
            </w:tcMar>
            <w:shd w:fill="F0F4F8"/>
          </w:tcPr>
          <w:p>
            <w:pPr>
              <w:spacing w:before="0" w:after="0"/>
              <w:jc w:val="center"/>
            </w:pPr>
            <w:r>
              <w:rPr>
                <w:rFonts w:ascii="Times New Roman" w:hAnsi="Times New Roman"/>
                <w:b/>
                <w:color w:val="0B2545"/>
                <w:sz w:val="17"/>
              </w:rPr>
              <w:t>Empirical Non-VPN</w:t>
            </w:r>
          </w:p>
        </w:tc>
        <w:tc>
          <w:tcPr>
            <w:tcW w:type="dxa" w:w="1440"/>
            <w:tcMar>
              <w:top w:w="90" w:type="dxa"/>
              <w:bottom w:w="90" w:type="dxa"/>
              <w:left w:w="110" w:type="dxa"/>
              <w:right w:w="110" w:type="dxa"/>
            </w:tcMar>
            <w:shd w:fill="F0F4F8"/>
          </w:tcPr>
          <w:p>
            <w:pPr>
              <w:spacing w:before="0" w:after="0"/>
              <w:jc w:val="center"/>
            </w:pPr>
            <w:r>
              <w:rPr>
                <w:rFonts w:ascii="Times New Roman" w:hAnsi="Times New Roman"/>
                <w:b/>
                <w:color w:val="0B2545"/>
                <w:sz w:val="17"/>
              </w:rPr>
              <w:t>Empirical VPN</w:t>
            </w:r>
          </w:p>
        </w:tc>
        <w:tc>
          <w:tcPr>
            <w:tcW w:type="dxa" w:w="1584"/>
            <w:tcMar>
              <w:top w:w="90" w:type="dxa"/>
              <w:bottom w:w="90" w:type="dxa"/>
              <w:left w:w="110" w:type="dxa"/>
              <w:right w:w="110" w:type="dxa"/>
            </w:tcMar>
            <w:shd w:fill="F0F4F8"/>
          </w:tcPr>
          <w:p>
            <w:pPr>
              <w:spacing w:before="0" w:after="0"/>
              <w:jc w:val="center"/>
            </w:pPr>
            <w:r>
              <w:rPr>
                <w:rFonts w:ascii="Times New Roman" w:hAnsi="Times New Roman"/>
                <w:b/>
                <w:color w:val="0B2545"/>
                <w:sz w:val="17"/>
              </w:rPr>
              <w:t>Empirical / Chance</w:t>
            </w:r>
          </w:p>
        </w:tc>
      </w:tr>
      <w:tr>
        <w:tc>
          <w:tcPr>
            <w:tcW w:type="dxa" w:w="2016"/>
            <w:tcMar>
              <w:top w:w="70" w:type="dxa"/>
              <w:bottom w:w="70" w:type="dxa"/>
              <w:left w:w="110" w:type="dxa"/>
              <w:right w:w="110" w:type="dxa"/>
            </w:tcMar>
          </w:tcPr>
          <w:p>
            <w:pPr>
              <w:spacing w:before="0" w:after="0"/>
              <w:jc w:val="center"/>
            </w:pPr>
            <w:r>
              <w:rPr>
                <w:rFonts w:ascii="Times New Roman" w:hAnsi="Times New Roman"/>
                <w:color w:val="222222"/>
                <w:sz w:val="17"/>
              </w:rPr>
              <w:t>L = 4 (Non-VPN Med.)</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8 features</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0.4707</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0.7839</w:t>
            </w:r>
          </w:p>
        </w:tc>
        <w:tc>
          <w:tcPr>
            <w:tcW w:type="dxa" w:w="1440"/>
            <w:tcMar>
              <w:top w:w="70" w:type="dxa"/>
              <w:bottom w:w="70" w:type="dxa"/>
              <w:left w:w="110" w:type="dxa"/>
              <w:right w:w="110" w:type="dxa"/>
            </w:tcMar>
          </w:tcPr>
          <w:p>
            <w:pPr>
              <w:spacing w:before="0" w:after="0"/>
              <w:jc w:val="center"/>
            </w:pPr>
            <w:r>
              <w:rPr>
                <w:rFonts w:ascii="Times New Roman" w:hAnsi="Times New Roman"/>
                <w:color w:val="222222"/>
                <w:sz w:val="17"/>
              </w:rPr>
              <w:t>N/A</w:t>
            </w:r>
          </w:p>
        </w:tc>
        <w:tc>
          <w:tcPr>
            <w:tcW w:type="dxa" w:w="1584"/>
            <w:tcMar>
              <w:top w:w="70" w:type="dxa"/>
              <w:bottom w:w="70" w:type="dxa"/>
              <w:left w:w="110" w:type="dxa"/>
              <w:right w:w="110" w:type="dxa"/>
            </w:tcMar>
          </w:tcPr>
          <w:p>
            <w:pPr>
              <w:spacing w:before="0" w:after="0"/>
              <w:jc w:val="center"/>
            </w:pPr>
            <w:r>
              <w:rPr>
                <w:rFonts w:ascii="Times New Roman" w:hAnsi="Times New Roman"/>
                <w:b/>
                <w:color w:val="222222"/>
                <w:sz w:val="17"/>
              </w:rPr>
              <w:t>1.67x chance</w:t>
            </w:r>
          </w:p>
        </w:tc>
      </w:tr>
      <w:tr>
        <w:tc>
          <w:tcPr>
            <w:tcW w:type="dxa" w:w="2016"/>
            <w:tcMar>
              <w:top w:w="70" w:type="dxa"/>
              <w:bottom w:w="70" w:type="dxa"/>
              <w:left w:w="110" w:type="dxa"/>
              <w:right w:w="110" w:type="dxa"/>
            </w:tcMar>
          </w:tcPr>
          <w:p>
            <w:pPr>
              <w:spacing w:before="0" w:after="0"/>
              <w:jc w:val="center"/>
            </w:pPr>
            <w:r>
              <w:rPr>
                <w:rFonts w:ascii="Times New Roman" w:hAnsi="Times New Roman"/>
                <w:color w:val="222222"/>
                <w:sz w:val="17"/>
              </w:rPr>
              <w:t>L = 10</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20 features</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0.1546</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0.6201</w:t>
            </w:r>
          </w:p>
        </w:tc>
        <w:tc>
          <w:tcPr>
            <w:tcW w:type="dxa" w:w="1440"/>
            <w:tcMar>
              <w:top w:w="70" w:type="dxa"/>
              <w:bottom w:w="70" w:type="dxa"/>
              <w:left w:w="110" w:type="dxa"/>
              <w:right w:w="110" w:type="dxa"/>
            </w:tcMar>
          </w:tcPr>
          <w:p>
            <w:pPr>
              <w:spacing w:before="0" w:after="0"/>
              <w:jc w:val="center"/>
            </w:pPr>
            <w:r>
              <w:rPr>
                <w:rFonts w:ascii="Times New Roman" w:hAnsi="Times New Roman"/>
                <w:color w:val="222222"/>
                <w:sz w:val="17"/>
              </w:rPr>
              <w:t>0.4812</w:t>
            </w:r>
          </w:p>
        </w:tc>
        <w:tc>
          <w:tcPr>
            <w:tcW w:type="dxa" w:w="1584"/>
            <w:tcMar>
              <w:top w:w="70" w:type="dxa"/>
              <w:bottom w:w="70" w:type="dxa"/>
              <w:left w:w="110" w:type="dxa"/>
              <w:right w:w="110" w:type="dxa"/>
            </w:tcMar>
          </w:tcPr>
          <w:p>
            <w:pPr>
              <w:spacing w:before="0" w:after="0"/>
              <w:jc w:val="center"/>
            </w:pPr>
            <w:r>
              <w:rPr>
                <w:rFonts w:ascii="Times New Roman" w:hAnsi="Times New Roman"/>
                <w:b/>
                <w:color w:val="222222"/>
                <w:sz w:val="17"/>
              </w:rPr>
              <w:t>3.11x chance</w:t>
            </w:r>
          </w:p>
        </w:tc>
      </w:tr>
      <w:tr>
        <w:tc>
          <w:tcPr>
            <w:tcW w:type="dxa" w:w="2016"/>
            <w:tcMar>
              <w:top w:w="70" w:type="dxa"/>
              <w:bottom w:w="70" w:type="dxa"/>
              <w:left w:w="110" w:type="dxa"/>
              <w:right w:w="110" w:type="dxa"/>
            </w:tcMar>
          </w:tcPr>
          <w:p>
            <w:pPr>
              <w:spacing w:before="0" w:after="0"/>
              <w:jc w:val="center"/>
            </w:pPr>
            <w:r>
              <w:rPr>
                <w:rFonts w:ascii="Times New Roman" w:hAnsi="Times New Roman"/>
                <w:color w:val="222222"/>
                <w:sz w:val="17"/>
              </w:rPr>
              <w:t>L = 24 (VPN Median)</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48 features</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0.0604</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N/A</w:t>
            </w:r>
          </w:p>
        </w:tc>
        <w:tc>
          <w:tcPr>
            <w:tcW w:type="dxa" w:w="1440"/>
            <w:tcMar>
              <w:top w:w="70" w:type="dxa"/>
              <w:bottom w:w="70" w:type="dxa"/>
              <w:left w:w="110" w:type="dxa"/>
              <w:right w:w="110" w:type="dxa"/>
            </w:tcMar>
          </w:tcPr>
          <w:p>
            <w:pPr>
              <w:spacing w:before="0" w:after="0"/>
              <w:jc w:val="center"/>
            </w:pPr>
            <w:r>
              <w:rPr>
                <w:rFonts w:ascii="Times New Roman" w:hAnsi="Times New Roman"/>
                <w:color w:val="222222"/>
                <w:sz w:val="17"/>
              </w:rPr>
              <w:t>0.3281</w:t>
            </w:r>
          </w:p>
        </w:tc>
        <w:tc>
          <w:tcPr>
            <w:tcW w:type="dxa" w:w="1584"/>
            <w:tcMar>
              <w:top w:w="70" w:type="dxa"/>
              <w:bottom w:w="70" w:type="dxa"/>
              <w:left w:w="110" w:type="dxa"/>
              <w:right w:w="110" w:type="dxa"/>
            </w:tcMar>
          </w:tcPr>
          <w:p>
            <w:pPr>
              <w:spacing w:before="0" w:after="0"/>
              <w:jc w:val="center"/>
            </w:pPr>
            <w:r>
              <w:rPr>
                <w:rFonts w:ascii="Times New Roman" w:hAnsi="Times New Roman"/>
                <w:b/>
                <w:color w:val="222222"/>
                <w:sz w:val="17"/>
              </w:rPr>
              <w:t>5.43x chance</w:t>
            </w:r>
          </w:p>
        </w:tc>
      </w:tr>
      <w:tr>
        <w:tc>
          <w:tcPr>
            <w:tcW w:type="dxa" w:w="2016"/>
            <w:tcMar>
              <w:top w:w="70" w:type="dxa"/>
              <w:bottom w:w="70" w:type="dxa"/>
              <w:left w:w="110" w:type="dxa"/>
              <w:right w:w="110" w:type="dxa"/>
            </w:tcMar>
          </w:tcPr>
          <w:p>
            <w:pPr>
              <w:spacing w:before="0" w:after="0"/>
              <w:jc w:val="center"/>
            </w:pPr>
            <w:r>
              <w:rPr>
                <w:rFonts w:ascii="Times New Roman" w:hAnsi="Times New Roman"/>
                <w:color w:val="222222"/>
                <w:sz w:val="17"/>
              </w:rPr>
              <w:t>L = 64 (Max Length)</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128 features</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0.0220</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N/A</w:t>
            </w:r>
          </w:p>
        </w:tc>
        <w:tc>
          <w:tcPr>
            <w:tcW w:type="dxa" w:w="1440"/>
            <w:tcMar>
              <w:top w:w="70" w:type="dxa"/>
              <w:bottom w:w="70" w:type="dxa"/>
              <w:left w:w="110" w:type="dxa"/>
              <w:right w:w="110" w:type="dxa"/>
            </w:tcMar>
          </w:tcPr>
          <w:p>
            <w:pPr>
              <w:spacing w:before="0" w:after="0"/>
              <w:jc w:val="center"/>
            </w:pPr>
            <w:r>
              <w:rPr>
                <w:rFonts w:ascii="Times New Roman" w:hAnsi="Times New Roman"/>
                <w:color w:val="222222"/>
                <w:sz w:val="17"/>
              </w:rPr>
              <w:t>0.1418</w:t>
            </w:r>
          </w:p>
        </w:tc>
        <w:tc>
          <w:tcPr>
            <w:tcW w:type="dxa" w:w="1584"/>
            <w:tcMar>
              <w:top w:w="70" w:type="dxa"/>
              <w:bottom w:w="70" w:type="dxa"/>
              <w:left w:w="110" w:type="dxa"/>
              <w:right w:w="110" w:type="dxa"/>
            </w:tcMar>
          </w:tcPr>
          <w:p>
            <w:pPr>
              <w:spacing w:before="0" w:after="0"/>
              <w:jc w:val="center"/>
            </w:pPr>
            <w:r>
              <w:rPr>
                <w:rFonts w:ascii="Times New Roman" w:hAnsi="Times New Roman"/>
                <w:b/>
                <w:color w:val="222222"/>
                <w:sz w:val="17"/>
              </w:rPr>
              <w:t>6.45x chance</w:t>
            </w:r>
          </w:p>
        </w:tc>
      </w:tr>
    </w:tbl>
    <w:p>
      <w:pPr>
        <w:spacing w:before="0" w:after="120"/>
      </w:pPr>
    </w:p>
    <w:p>
      <w:pPr>
        <w:spacing w:before="0" w:after="100" w:line="276" w:lineRule="auto"/>
        <w:jc w:val="both"/>
      </w:pPr>
      <w:r>
        <w:rPr>
          <w:rFonts w:ascii="Times New Roman" w:hAnsi="Times New Roman"/>
          <w:color w:val="222222"/>
          <w:sz w:val="20"/>
        </w:rPr>
        <w:t>Sequence-Length-Matched Cohort Analysis: To definitively isolate the effect of quantization from sequence length, a controlled length-matched cohort of 120 pairs (N = 240 flows) is constructed, matching each VPN flow to a Non-VPN flow of identical active sequence length (L_VPN = L_Non-VPN). Paired differences are evaluated via two-sided Wilcoxon signed-rank tests and 10,000-iteration bootstrap resampling.</w:t>
      </w:r>
    </w:p>
    <w:p>
      <w:pPr>
        <w:keepNext/>
        <w:spacing w:before="280" w:after="80"/>
      </w:pPr>
      <w:r>
        <w:rPr>
          <w:rFonts w:ascii="Times New Roman" w:hAnsi="Times New Roman"/>
          <w:b/>
          <w:color w:val="0B2545"/>
          <w:sz w:val="26"/>
        </w:rPr>
        <w:t>2. QUALITATIVE METHODOLOGY</w:t>
      </w:r>
    </w:p>
    <w:p>
      <w:pPr>
        <w:keepNext/>
        <w:spacing w:before="200" w:after="60"/>
      </w:pPr>
      <w:r>
        <w:rPr>
          <w:rFonts w:ascii="Times New Roman" w:hAnsi="Times New Roman"/>
          <w:b/>
          <w:color w:val="134074"/>
          <w:sz w:val="22"/>
        </w:rPr>
        <w:t>2.1 Threat Model &amp; Automated Incident Response Cascade (SOAR / SIEM)</w:t>
      </w:r>
    </w:p>
    <w:p>
      <w:pPr>
        <w:spacing w:before="0" w:after="100" w:line="276" w:lineRule="auto"/>
        <w:jc w:val="both"/>
      </w:pPr>
      <w:r>
        <w:rPr>
          <w:rFonts w:ascii="Times New Roman" w:hAnsi="Times New Roman"/>
          <w:color w:val="222222"/>
          <w:sz w:val="20"/>
        </w:rPr>
        <w:t>While quantitative metrics define numerical divergence, qualitative contextualization is required to evaluate operational impact. In modern enterprise security architectures, edge traffic classifiers feed directly into Security Operations Center (SOC) pipelines, Security Information and Event Management (SIEM) aggregators, and Security Orchestration, Automation, and Response (SOAR) platforms.</w:t>
      </w:r>
    </w:p>
    <w:p>
      <w:pPr>
        <w:spacing w:before="0" w:after="100" w:line="276" w:lineRule="auto"/>
        <w:jc w:val="both"/>
      </w:pPr>
      <w:r>
        <w:rPr>
          <w:rFonts w:ascii="Times New Roman" w:hAnsi="Times New Roman"/>
          <w:color w:val="222222"/>
          <w:sz w:val="20"/>
        </w:rPr>
        <w:t>Operational Threat Cascade Hypothesis: In automated response environments, edge traffic classifiers forward high-confidence alerts (p &gt;= 0.5) along with the top-ranked explanatory feature indices T_k(phi_INT8) to the SIEM. Automated SOAR playbooks ingest these attributed packet positions to dynamically synthesize perimeter defense policies, such as firewall Access Control Lists (ACLs) or packet rate-limiting rules targeting observed frame length bands and arrival rates:</w:t>
      </w:r>
    </w:p>
    <w:p>
      <w:pPr>
        <w:spacing w:before="0" w:after="100" w:line="276" w:lineRule="auto"/>
        <w:jc w:val="both"/>
      </w:pPr>
      <w:r>
        <w:rPr>
          <w:rFonts w:ascii="Times New Roman" w:hAnsi="Times New Roman"/>
          <w:color w:val="222222"/>
          <w:sz w:val="20"/>
        </w:rPr>
        <w:t xml:space="preserve">    iptables -A FORWARD -p tcp -m length --length 1420:1440 -m limit --limit 50/s -j DROP</w:t>
        <w:br/>
        <w:t xml:space="preserve">    iptables -A FORWARD -p udp -m length --length 175:185 -j REJECT</w:t>
      </w:r>
    </w:p>
    <w:p>
      <w:pPr>
        <w:spacing w:before="0" w:after="100" w:line="276" w:lineRule="auto"/>
        <w:jc w:val="both"/>
      </w:pPr>
      <w:r>
        <w:rPr>
          <w:rFonts w:ascii="Times New Roman" w:hAnsi="Times New Roman"/>
          <w:color w:val="222222"/>
          <w:sz w:val="20"/>
        </w:rPr>
        <w:t>Under the uncompressed FP32 baseline model, the synthesized rule targets stable structural characteristics of early session establishment (packets t &lt;= 4). Under INT8 attribution drift, the SOAR engine synthesizes rules targeting transient, arbitrary payload lengths (t in [18, 57]) that triggered the shifted integer decision boundary. An adversary can bypass these dynamic filters through trivial packet-padding techniques (e.g., appending arbitrary dummy bytes to payload packets) without modifying their tunneling protocol. We frame this operational failure as a motivated security hypothesis, highlighting the necessity of live firewall injection experiments in future operational validation.</w:t>
      </w:r>
    </w:p>
    <w:p>
      <w:pPr>
        <w:keepNext/>
        <w:spacing w:before="200" w:after="60"/>
      </w:pPr>
      <w:r>
        <w:rPr>
          <w:rFonts w:ascii="Times New Roman" w:hAnsi="Times New Roman"/>
          <w:b/>
          <w:color w:val="134074"/>
          <w:sz w:val="22"/>
        </w:rPr>
        <w:t>2.2 Temporal Attention Dynamics across Flow Lifecycles (Early vs. Late Phase)</w:t>
      </w:r>
    </w:p>
    <w:p>
      <w:pPr>
        <w:spacing w:before="0" w:after="100" w:line="276" w:lineRule="auto"/>
        <w:jc w:val="both"/>
      </w:pPr>
      <w:r>
        <w:rPr>
          <w:rFonts w:ascii="Times New Roman" w:hAnsi="Times New Roman"/>
          <w:color w:val="222222"/>
          <w:sz w:val="20"/>
        </w:rPr>
        <w:t>Network flows possess temporal structure governed by protocol state machines. This study analyzes flow timelines across two functional phases:</w:t>
      </w:r>
    </w:p>
    <w:p>
      <w:pPr>
        <w:spacing w:before="0" w:after="100" w:line="276" w:lineRule="auto"/>
        <w:jc w:val="both"/>
      </w:pPr>
      <w:r>
        <w:rPr>
          <w:rFonts w:ascii="Times New Roman" w:hAnsi="Times New Roman"/>
          <w:color w:val="222222"/>
          <w:sz w:val="20"/>
        </w:rPr>
        <w:t>1. Early Flow Region (t &lt; 4): Corresponds observationally to the initial 4-packet burst window (connection initiation, cipher negotiation, and initial state setup).</w:t>
        <w:br/>
        <w:t>2. Late Bulk Region (t &gt;= 4): Corresponds observationally to application data exchange, stream segments, and keep-alive transmissions through t = L - 1.</w:t>
      </w:r>
    </w:p>
    <w:p>
      <w:pPr>
        <w:spacing w:before="0" w:after="100" w:line="276" w:lineRule="auto"/>
        <w:jc w:val="both"/>
      </w:pPr>
      <w:r>
        <w:rPr>
          <w:rFonts w:ascii="Times New Roman" w:hAnsi="Times New Roman"/>
          <w:color w:val="222222"/>
          <w:sz w:val="20"/>
        </w:rPr>
        <w:t>To evaluate whether attribution mass migrates across the flow lifecycle, the normalized relative early-phase attribution ratio is defined:</w:t>
      </w:r>
    </w:p>
    <w:p>
      <w:pPr>
        <w:spacing w:before="0" w:after="100" w:line="276" w:lineRule="auto"/>
        <w:jc w:val="both"/>
      </w:pPr>
      <w:r>
        <w:rPr>
          <w:rFonts w:ascii="Times New Roman" w:hAnsi="Times New Roman"/>
          <w:color w:val="222222"/>
          <w:sz w:val="20"/>
        </w:rPr>
        <w:t xml:space="preserve">    R_early = Omega_early / ( Omega_early + Omega_late ),   where Omega_early = sum_{t=0}^{min(3, L-1)} (|phi_{0,t}| + |phi_{1,t}|) and Omega_late = sum_{t=4}^{L-1} (|phi_{0,t}| + |phi_{1,t}|)</w:t>
      </w:r>
    </w:p>
    <w:p>
      <w:pPr>
        <w:spacing w:before="0" w:after="100" w:line="276" w:lineRule="auto"/>
        <w:jc w:val="both"/>
      </w:pPr>
      <w:r>
        <w:rPr>
          <w:rFonts w:ascii="Times New Roman" w:hAnsi="Times New Roman"/>
          <w:color w:val="222222"/>
          <w:sz w:val="20"/>
        </w:rPr>
        <w:t>We treat t &lt; 4 strictly as an early observational burst window rather than an absolute cryptographic state guarantee, recognizing that protocol handshakes vary across TCP/UDP implementations. This breakdown evaluates whether quantization causes a macro-shift (abandoning early features entirely) or a micro-shift (maintaining coarse temporal phase allocation while scrambling fine-grained packet rankings within each phase).</w:t>
      </w:r>
    </w:p>
    <w:p>
      <w:pPr>
        <w:keepNext/>
        <w:spacing w:before="200" w:after="60"/>
      </w:pPr>
      <w:r>
        <w:rPr>
          <w:rFonts w:ascii="Times New Roman" w:hAnsi="Times New Roman"/>
          <w:b/>
          <w:color w:val="134074"/>
          <w:sz w:val="22"/>
        </w:rPr>
        <w:t>2.3 Application-Level Explainability Risk Profiling</w:t>
      </w:r>
    </w:p>
    <w:p>
      <w:pPr>
        <w:spacing w:before="0" w:after="100" w:line="276" w:lineRule="auto"/>
        <w:jc w:val="both"/>
      </w:pPr>
      <w:r>
        <w:rPr>
          <w:rFonts w:ascii="Times New Roman" w:hAnsi="Times New Roman"/>
          <w:color w:val="222222"/>
          <w:sz w:val="20"/>
        </w:rPr>
        <w:t>Because network traffic encompasses fundamentally diverse operational behaviors, attribution drift is analyzed across all 16 underlying application protocols present in the dataset, grouped into four operational archetypes with exact split-specific empirical counts and standard deviations:</w:t>
      </w:r>
    </w:p>
    <w:p>
      <w:pPr>
        <w:spacing w:before="0" w:after="100" w:line="276" w:lineRule="auto"/>
        <w:jc w:val="both"/>
      </w:pPr>
      <w:r>
        <w:rPr>
          <w:rFonts w:ascii="Times New Roman" w:hAnsi="Times New Roman"/>
          <w:color w:val="222222"/>
          <w:sz w:val="20"/>
        </w:rPr>
        <w:t>1. Ephemeral Interactive Messaging &amp; VoIP (Skype: 206 flows, IoU = 0.603 ± 0.390; Hangouts: 178 flows, IoU = 0.638 ± 0.384; Facebook: 164 flows, IoU = 0.709 ± 0.341; VoipBuster: 12 flows, IoU = 0.590 ± 0.413): Short-lived conversational control flows dominated by early session establishment (L &lt;= 6). Because the active feature candidate space is restricted, attribution profiles exhibit high stability (IoU &gt;= 0.59).</w:t>
        <w:br/>
        <w:t>2. Persistent Bulk Data &amp; Peer-to-Peer Transfers (BitTorrent: 39 flows, IoU = 0.257 ± 0.317; FTPS: 18 flows, IoU = 0.213 ± 0.192; SCP: 11 flows, IoU = 0.597 ± 0.320; SFTP: 4 flows, IoU = 0.194 ± 0.276): Characterized by prolonged bidirectional pipelines (L -&gt; 64). Saliency is dispersed across long payload sequences, resulting in severe attribution degradation for bulk transfers (IoU &lt;= 0.26).</w:t>
        <w:br/>
        <w:t>3. Continuous Media Streaming (YouTube: 28 flows, IoU = 0.304 ± 0.285; Netflix: 22 flows, IoU = 0.347 ± 0.319; Vimeo: 18 flows, IoU = 0.280 ± 0.252; Spotify: 12 flows, IoU = 0.390 ± 0.321): Characterized by periodic buffer-refill bursts. Attribution drift redistributes saliency across variable-length chunk downloads (IoU ≈ 0.28 - 0.39).</w:t>
        <w:br/>
        <w:t>4. Sample-Constrained Legacy &amp; Transactional Protocols (Email: 26 flows, IoU = 0.142 ± 0.255; AIM: 3 flows, IoU = 0.365 ± 0.276; ICQ: 3 flows, IoU = 0.120 ± 0.102; GmailChat: 2 flows, IoU = 0.667 ± 0.000): Protocols with low flow counts in test splits exhibit wide uncertainty intervals, precluding broad category generalizations without larger corroborating samples.</w:t>
      </w:r>
    </w:p>
    <w:p>
      <w:pPr>
        <w:keepNext/>
        <w:spacing w:before="200" w:after="60"/>
      </w:pPr>
      <w:r>
        <w:rPr>
          <w:rFonts w:ascii="Times New Roman" w:hAnsi="Times New Roman"/>
          <w:b/>
          <w:color w:val="134074"/>
          <w:sz w:val="22"/>
        </w:rPr>
        <w:t>2.4 Regulatory Governance &amp; Model Auditing Protocol</w:t>
      </w:r>
    </w:p>
    <w:p>
      <w:pPr>
        <w:spacing w:before="0" w:after="100" w:line="276" w:lineRule="auto"/>
        <w:jc w:val="both"/>
      </w:pPr>
      <w:r>
        <w:rPr>
          <w:rFonts w:ascii="Times New Roman" w:hAnsi="Times New Roman"/>
          <w:color w:val="222222"/>
          <w:sz w:val="20"/>
        </w:rPr>
        <w:t>Emerging statutory AI governance frameworks classify automated network security, critical infrastructure protection, and biometric or forensic monitoring systems as high-risk deployments. This study operationalizes attribution drift against technical transparency and auditability principles under the EU AI Act (Articles 13–14) and GDPR (Article 22):</w:t>
      </w:r>
    </w:p>
    <w:p>
      <w:pPr>
        <w:spacing w:before="0" w:after="100" w:line="276" w:lineRule="auto"/>
        <w:jc w:val="both"/>
      </w:pPr>
      <w:r>
        <w:rPr>
          <w:rFonts w:ascii="Times New Roman" w:hAnsi="Times New Roman"/>
          <w:color w:val="222222"/>
          <w:sz w:val="20"/>
        </w:rPr>
        <w:t>• EU Artificial Intelligence Act (Annex III &amp; Articles 13–14): Outlines governance expectations for high-risk AI deployments, requiring sufficient technical transparency to enable human overseers to interpret model outputs and detect post-deployment operational drift.</w:t>
        <w:br/>
        <w:t>• General Data Protection Regulation (GDPR Article 22 &amp; Recital 71): Motivates explainability safeguards in automated processing pipelines where automated decisions (such as automated bandwidth throttling, connection teardown, or security quarantine) affect individuals.</w:t>
      </w:r>
    </w:p>
    <w:p>
      <w:pPr>
        <w:spacing w:before="160" w:after="160" w:line="276" w:lineRule="auto"/>
        <w:ind w:left="432" w:right="288"/>
        <w:pBdr>
          <w:left w:val="single" w:sz="24" w:space="12" w:color="0B2545"/>
        </w:pBdr>
        <w:shd w:fill="F8FAFC"/>
      </w:pPr>
      <w:r>
        <w:rPr>
          <w:rFonts w:ascii="Times New Roman" w:hAnsi="Times New Roman"/>
          <w:b/>
          <w:color w:val="0B2545"/>
          <w:sz w:val="20"/>
        </w:rPr>
        <w:t>The XDrift Dual-Fidelity Auditing Protocol</w:t>
        <w:br/>
      </w:r>
      <w:r>
        <w:rPr>
          <w:rFonts w:ascii="Times New Roman" w:hAnsi="Times New Roman"/>
          <w:i/>
          <w:color w:val="2D3748"/>
          <w:sz w:val="19"/>
        </w:rPr>
        <w:t>Current industry practice evaluates model quantization through a single gate: Predictive Task Fidelity (|Delta Acc| &lt;= 0.5%). This research proposes an operational Dual-Fidelity Auditing Protocol as a technical certification guideline prior to edge deployment:</w:t>
        <w:br/>
        <w:t>• Gate 1 (Predictive Task Fidelity): |Acc_FP32 - Acc_INT8| &lt;= 0.50%  and  Delta Recall_minority &lt;= 1.00%</w:t>
        <w:br/>
        <w:t>• Gate 2 (Attribution Fidelity): IoU_feat(phi_FP32, phi_INT8) &gt;= 0.70  and  rho(phi_FP32, phi_INT8) &gt;= 0.75</w:t>
        <w:br/>
        <w:t>Models failing Gate 2 are flagged for explanation instability, preventing the unverified rollout of compressed classifiers in automated defense environments.</w:t>
      </w:r>
    </w:p>
    <w:p>
      <w:pPr>
        <w:keepNext/>
        <w:spacing w:before="160" w:after="40"/>
      </w:pPr>
      <w:r>
        <w:rPr>
          <w:rFonts w:ascii="Times New Roman" w:hAnsi="Times New Roman"/>
          <w:b/>
          <w:color w:val="0B2545"/>
          <w:sz w:val="19"/>
        </w:rPr>
        <w:t>TABLE IV: METHODOLOGICAL SYNTHESIS: QUANTITATIVE FORMULATION VS. QUALITATIVE VALUE</w:t>
      </w:r>
    </w:p>
    <w:tbl>
      <w:tblPr>
        <w:tblW w:type="auto" w:w="0"/>
        <w:jc w:val="center"/>
        <w:tblLayout w:type="fixed"/>
        <w:tblLook w:firstColumn="1" w:firstRow="1" w:lastColumn="0" w:lastRow="0" w:noHBand="0" w:noVBand="1" w:val="04A0"/>
        <w:tblBorders>
          <w:top w:val="single" w:sz="12" w:space="0" w:color="0B2545"/>
          <w:bottom w:val="single" w:sz="12" w:space="0" w:color="0B2545"/>
          <w:insideH w:val="single" w:sz="4" w:space="0" w:color="CBD5E1"/>
          <w:insideV w:val="none"/>
          <w:left w:val="none"/>
          <w:right w:val="none"/>
        </w:tblBorders>
      </w:tblPr>
      <w:tblGrid>
        <w:gridCol w:w="3120"/>
        <w:gridCol w:w="3120"/>
        <w:gridCol w:w="3120"/>
      </w:tblGrid>
      <w:tr>
        <w:tc>
          <w:tcPr>
            <w:tcW w:type="dxa" w:w="2592"/>
            <w:tcMar>
              <w:top w:w="90" w:type="dxa"/>
              <w:bottom w:w="90" w:type="dxa"/>
              <w:left w:w="110" w:type="dxa"/>
              <w:right w:w="110" w:type="dxa"/>
            </w:tcMar>
            <w:shd w:fill="F0F4F8"/>
          </w:tcPr>
          <w:p>
            <w:pPr>
              <w:spacing w:before="0" w:after="0"/>
              <w:jc w:val="center"/>
            </w:pPr>
            <w:r>
              <w:rPr>
                <w:rFonts w:ascii="Times New Roman" w:hAnsi="Times New Roman"/>
                <w:b/>
                <w:color w:val="0B2545"/>
                <w:sz w:val="17"/>
              </w:rPr>
              <w:t>Methodological Dimension</w:t>
            </w:r>
          </w:p>
        </w:tc>
        <w:tc>
          <w:tcPr>
            <w:tcW w:type="dxa" w:w="3312"/>
            <w:tcMar>
              <w:top w:w="90" w:type="dxa"/>
              <w:bottom w:w="90" w:type="dxa"/>
              <w:left w:w="110" w:type="dxa"/>
              <w:right w:w="110" w:type="dxa"/>
            </w:tcMar>
            <w:shd w:fill="F0F4F8"/>
          </w:tcPr>
          <w:p>
            <w:pPr>
              <w:spacing w:before="0" w:after="0"/>
              <w:jc w:val="center"/>
            </w:pPr>
            <w:r>
              <w:rPr>
                <w:rFonts w:ascii="Times New Roman" w:hAnsi="Times New Roman"/>
                <w:b/>
                <w:color w:val="0B2545"/>
                <w:sz w:val="17"/>
              </w:rPr>
              <w:t>Quantitative Implementation</w:t>
            </w:r>
          </w:p>
        </w:tc>
        <w:tc>
          <w:tcPr>
            <w:tcW w:type="dxa" w:w="3456"/>
            <w:tcMar>
              <w:top w:w="90" w:type="dxa"/>
              <w:bottom w:w="90" w:type="dxa"/>
              <w:left w:w="110" w:type="dxa"/>
              <w:right w:w="110" w:type="dxa"/>
            </w:tcMar>
            <w:shd w:fill="F0F4F8"/>
          </w:tcPr>
          <w:p>
            <w:pPr>
              <w:spacing w:before="0" w:after="0"/>
              <w:jc w:val="center"/>
            </w:pPr>
            <w:r>
              <w:rPr>
                <w:rFonts w:ascii="Times New Roman" w:hAnsi="Times New Roman"/>
                <w:b/>
                <w:color w:val="0B2545"/>
                <w:sz w:val="17"/>
              </w:rPr>
              <w:t>Qualitative Context &amp; Operational Value</w:t>
            </w:r>
          </w:p>
        </w:tc>
      </w:tr>
      <w:tr>
        <w:tc>
          <w:tcPr>
            <w:tcW w:type="dxa" w:w="2592"/>
            <w:tcMar>
              <w:top w:w="70" w:type="dxa"/>
              <w:bottom w:w="70" w:type="dxa"/>
              <w:left w:w="100" w:type="dxa"/>
              <w:right w:w="100" w:type="dxa"/>
            </w:tcMar>
          </w:tcPr>
          <w:p>
            <w:pPr>
              <w:spacing w:before="0" w:after="0"/>
              <w:jc w:val="left"/>
            </w:pPr>
            <w:r>
              <w:rPr>
                <w:rFonts w:ascii="Times New Roman" w:hAnsi="Times New Roman"/>
                <w:b/>
                <w:color w:val="222222"/>
                <w:sz w:val="17"/>
              </w:rPr>
              <w:t>Data Featurization</w:t>
            </w:r>
          </w:p>
        </w:tc>
        <w:tc>
          <w:tcPr>
            <w:tcW w:type="dxa" w:w="3312"/>
            <w:tcMar>
              <w:top w:w="70" w:type="dxa"/>
              <w:bottom w:w="70" w:type="dxa"/>
              <w:left w:w="100" w:type="dxa"/>
              <w:right w:w="100" w:type="dxa"/>
            </w:tcMar>
          </w:tcPr>
          <w:p>
            <w:pPr>
              <w:spacing w:before="0" w:after="0"/>
              <w:jc w:val="left"/>
            </w:pPr>
            <w:r>
              <w:rPr>
                <w:rFonts w:ascii="Times New Roman" w:hAnsi="Times New Roman"/>
                <w:color w:val="222222"/>
                <w:sz w:val="17"/>
              </w:rPr>
              <w:t>dpkt stream parsing; 55,498 flows; (2, 64) tensors; signed length &amp; log IAT.</w:t>
            </w:r>
          </w:p>
        </w:tc>
        <w:tc>
          <w:tcPr>
            <w:tcW w:type="dxa" w:w="3456"/>
            <w:tcMar>
              <w:top w:w="70" w:type="dxa"/>
              <w:bottom w:w="70" w:type="dxa"/>
              <w:left w:w="100" w:type="dxa"/>
              <w:right w:w="100" w:type="dxa"/>
            </w:tcMar>
          </w:tcPr>
          <w:p>
            <w:pPr>
              <w:spacing w:before="0" w:after="0"/>
              <w:jc w:val="left"/>
            </w:pPr>
            <w:r>
              <w:rPr>
                <w:rFonts w:ascii="Times New Roman" w:hAnsi="Times New Roman"/>
                <w:color w:val="222222"/>
                <w:sz w:val="17"/>
              </w:rPr>
              <w:t>Respects TLS 1.3/QUIC payload encryption; operates purely on transport-layer behavioral metadata.</w:t>
            </w:r>
          </w:p>
        </w:tc>
      </w:tr>
      <w:tr>
        <w:tc>
          <w:tcPr>
            <w:tcW w:type="dxa" w:w="2592"/>
            <w:tcMar>
              <w:top w:w="70" w:type="dxa"/>
              <w:bottom w:w="70" w:type="dxa"/>
              <w:left w:w="100" w:type="dxa"/>
              <w:right w:w="100" w:type="dxa"/>
            </w:tcMar>
          </w:tcPr>
          <w:p>
            <w:pPr>
              <w:spacing w:before="0" w:after="0"/>
              <w:jc w:val="left"/>
            </w:pPr>
            <w:r>
              <w:rPr>
                <w:rFonts w:ascii="Times New Roman" w:hAnsi="Times New Roman"/>
                <w:b/>
                <w:color w:val="222222"/>
                <w:sz w:val="17"/>
              </w:rPr>
              <w:t>Imbalance Mitigation</w:t>
            </w:r>
          </w:p>
        </w:tc>
        <w:tc>
          <w:tcPr>
            <w:tcW w:type="dxa" w:w="3312"/>
            <w:tcMar>
              <w:top w:w="70" w:type="dxa"/>
              <w:bottom w:w="70" w:type="dxa"/>
              <w:left w:w="100" w:type="dxa"/>
              <w:right w:w="100" w:type="dxa"/>
            </w:tcMar>
          </w:tcPr>
          <w:p>
            <w:pPr>
              <w:spacing w:before="0" w:after="0"/>
              <w:jc w:val="left"/>
            </w:pPr>
            <w:r>
              <w:rPr>
                <w:rFonts w:ascii="Times New Roman" w:hAnsi="Times New Roman"/>
                <w:color w:val="222222"/>
                <w:sz w:val="17"/>
              </w:rPr>
              <w:t>Weighted BCE loss (pos_weight = 21.4166); validation F1-optimized threshold (tau*=0.62).</w:t>
            </w:r>
          </w:p>
        </w:tc>
        <w:tc>
          <w:tcPr>
            <w:tcW w:type="dxa" w:w="3456"/>
            <w:tcMar>
              <w:top w:w="70" w:type="dxa"/>
              <w:bottom w:w="70" w:type="dxa"/>
              <w:left w:w="100" w:type="dxa"/>
              <w:right w:w="100" w:type="dxa"/>
            </w:tcMar>
          </w:tcPr>
          <w:p>
            <w:pPr>
              <w:spacing w:before="0" w:after="0"/>
              <w:jc w:val="left"/>
            </w:pPr>
            <w:r>
              <w:rPr>
                <w:rFonts w:ascii="Times New Roman" w:hAnsi="Times New Roman"/>
                <w:color w:val="222222"/>
                <w:sz w:val="17"/>
              </w:rPr>
              <w:t>Prevents majority-class collapse; preserves minority VPN recall (94.37%) without test data leakage.</w:t>
            </w:r>
          </w:p>
        </w:tc>
      </w:tr>
      <w:tr>
        <w:tc>
          <w:tcPr>
            <w:tcW w:type="dxa" w:w="2592"/>
            <w:tcMar>
              <w:top w:w="70" w:type="dxa"/>
              <w:bottom w:w="70" w:type="dxa"/>
              <w:left w:w="100" w:type="dxa"/>
              <w:right w:w="100" w:type="dxa"/>
            </w:tcMar>
          </w:tcPr>
          <w:p>
            <w:pPr>
              <w:spacing w:before="0" w:after="0"/>
              <w:jc w:val="left"/>
            </w:pPr>
            <w:r>
              <w:rPr>
                <w:rFonts w:ascii="Times New Roman" w:hAnsi="Times New Roman"/>
                <w:b/>
                <w:color w:val="222222"/>
                <w:sz w:val="17"/>
              </w:rPr>
              <w:t>Dual Quantization</w:t>
            </w:r>
          </w:p>
        </w:tc>
        <w:tc>
          <w:tcPr>
            <w:tcW w:type="dxa" w:w="3312"/>
            <w:tcMar>
              <w:top w:w="70" w:type="dxa"/>
              <w:bottom w:w="70" w:type="dxa"/>
              <w:left w:w="100" w:type="dxa"/>
              <w:right w:w="100" w:type="dxa"/>
            </w:tcMar>
          </w:tcPr>
          <w:p>
            <w:pPr>
              <w:spacing w:before="0" w:after="0"/>
              <w:jc w:val="left"/>
            </w:pPr>
            <w:r>
              <w:rPr>
                <w:rFonts w:ascii="Times New Roman" w:hAnsi="Times New Roman"/>
                <w:color w:val="222222"/>
                <w:sz w:val="17"/>
              </w:rPr>
              <w:t>Static PTQ (balanced calibration) vs. QAT (FakeQuant + STE backprop).</w:t>
            </w:r>
          </w:p>
        </w:tc>
        <w:tc>
          <w:tcPr>
            <w:tcW w:type="dxa" w:w="3456"/>
            <w:tcMar>
              <w:top w:w="70" w:type="dxa"/>
              <w:bottom w:w="70" w:type="dxa"/>
              <w:left w:w="100" w:type="dxa"/>
              <w:right w:w="100" w:type="dxa"/>
            </w:tcMar>
          </w:tcPr>
          <w:p>
            <w:pPr>
              <w:spacing w:before="0" w:after="0"/>
              <w:jc w:val="left"/>
            </w:pPr>
            <w:r>
              <w:rPr>
                <w:rFonts w:ascii="Times New Roman" w:hAnsi="Times New Roman"/>
                <w:color w:val="222222"/>
                <w:sz w:val="17"/>
              </w:rPr>
              <w:t>Evaluates whether attribution drift stems from naive rounding or persists under task-loss QAT fine-tuning.</w:t>
            </w:r>
          </w:p>
        </w:tc>
      </w:tr>
      <w:tr>
        <w:tc>
          <w:tcPr>
            <w:tcW w:type="dxa" w:w="2592"/>
            <w:tcMar>
              <w:top w:w="70" w:type="dxa"/>
              <w:bottom w:w="70" w:type="dxa"/>
              <w:left w:w="100" w:type="dxa"/>
              <w:right w:w="100" w:type="dxa"/>
            </w:tcMar>
          </w:tcPr>
          <w:p>
            <w:pPr>
              <w:spacing w:before="0" w:after="0"/>
              <w:jc w:val="left"/>
            </w:pPr>
            <w:r>
              <w:rPr>
                <w:rFonts w:ascii="Times New Roman" w:hAnsi="Times New Roman"/>
                <w:b/>
                <w:color w:val="222222"/>
                <w:sz w:val="17"/>
              </w:rPr>
              <w:t>Explainability Suite</w:t>
            </w:r>
          </w:p>
        </w:tc>
        <w:tc>
          <w:tcPr>
            <w:tcW w:type="dxa" w:w="3312"/>
            <w:tcMar>
              <w:top w:w="70" w:type="dxa"/>
              <w:bottom w:w="70" w:type="dxa"/>
              <w:left w:w="100" w:type="dxa"/>
              <w:right w:w="100" w:type="dxa"/>
            </w:tcMar>
          </w:tcPr>
          <w:p>
            <w:pPr>
              <w:spacing w:before="0" w:after="0"/>
              <w:jc w:val="left"/>
            </w:pPr>
            <w:r>
              <w:rPr>
                <w:rFonts w:ascii="Times New Roman" w:hAnsi="Times New Roman"/>
                <w:color w:val="222222"/>
                <w:sz w:val="17"/>
              </w:rPr>
              <w:t>KernelSHAP on discrete INT8 vs. Integrated Gradients on FakeQuant STE.</w:t>
            </w:r>
          </w:p>
        </w:tc>
        <w:tc>
          <w:tcPr>
            <w:tcW w:type="dxa" w:w="3456"/>
            <w:tcMar>
              <w:top w:w="70" w:type="dxa"/>
              <w:bottom w:w="70" w:type="dxa"/>
              <w:left w:w="100" w:type="dxa"/>
              <w:right w:w="100" w:type="dxa"/>
            </w:tcMar>
          </w:tcPr>
          <w:p>
            <w:pPr>
              <w:spacing w:before="0" w:after="0"/>
              <w:jc w:val="left"/>
            </w:pPr>
            <w:r>
              <w:rPr>
                <w:rFonts w:ascii="Times New Roman" w:hAnsi="Times New Roman"/>
                <w:color w:val="222222"/>
                <w:sz w:val="17"/>
              </w:rPr>
              <w:t>Contrasts discrete integer queries against continuous path-integral smoothing; separates explainer noise.</w:t>
            </w:r>
          </w:p>
        </w:tc>
      </w:tr>
      <w:tr>
        <w:tc>
          <w:tcPr>
            <w:tcW w:type="dxa" w:w="2592"/>
            <w:tcMar>
              <w:top w:w="70" w:type="dxa"/>
              <w:bottom w:w="70" w:type="dxa"/>
              <w:left w:w="100" w:type="dxa"/>
              <w:right w:w="100" w:type="dxa"/>
            </w:tcMar>
          </w:tcPr>
          <w:p>
            <w:pPr>
              <w:spacing w:before="0" w:after="0"/>
              <w:jc w:val="left"/>
            </w:pPr>
            <w:r>
              <w:rPr>
                <w:rFonts w:ascii="Times New Roman" w:hAnsi="Times New Roman"/>
                <w:b/>
                <w:color w:val="222222"/>
                <w:sz w:val="17"/>
              </w:rPr>
              <w:t>Confounder Rigor</w:t>
            </w:r>
          </w:p>
        </w:tc>
        <w:tc>
          <w:tcPr>
            <w:tcW w:type="dxa" w:w="3312"/>
            <w:tcMar>
              <w:top w:w="70" w:type="dxa"/>
              <w:bottom w:w="70" w:type="dxa"/>
              <w:left w:w="100" w:type="dxa"/>
              <w:right w:w="100" w:type="dxa"/>
            </w:tcMar>
          </w:tcPr>
          <w:p>
            <w:pPr>
              <w:spacing w:before="0" w:after="0"/>
              <w:jc w:val="left"/>
            </w:pPr>
            <w:r>
              <w:rPr>
                <w:rFonts w:ascii="Times New Roman" w:hAnsi="Times New Roman"/>
                <w:color w:val="222222"/>
                <w:sz w:val="17"/>
              </w:rPr>
              <w:t>Multi-seed variance (sigma=0.043); OLS with interaction beta_LV; chance baseline.</w:t>
            </w:r>
          </w:p>
        </w:tc>
        <w:tc>
          <w:tcPr>
            <w:tcW w:type="dxa" w:w="3456"/>
            <w:tcMar>
              <w:top w:w="70" w:type="dxa"/>
              <w:bottom w:w="70" w:type="dxa"/>
              <w:left w:w="100" w:type="dxa"/>
              <w:right w:w="100" w:type="dxa"/>
            </w:tcMar>
          </w:tcPr>
          <w:p>
            <w:pPr>
              <w:spacing w:before="0" w:after="0"/>
              <w:jc w:val="left"/>
            </w:pPr>
            <w:r>
              <w:rPr>
                <w:rFonts w:ascii="Times New Roman" w:hAnsi="Times New Roman"/>
                <w:color w:val="222222"/>
                <w:sz w:val="17"/>
              </w:rPr>
              <w:t>Proves drift is genuine (&gt;5.4x chance) rather than explainer noise or sequence-length artifacts.</w:t>
            </w:r>
          </w:p>
        </w:tc>
      </w:tr>
      <w:tr>
        <w:tc>
          <w:tcPr>
            <w:tcW w:type="dxa" w:w="2592"/>
            <w:tcMar>
              <w:top w:w="70" w:type="dxa"/>
              <w:bottom w:w="70" w:type="dxa"/>
              <w:left w:w="100" w:type="dxa"/>
              <w:right w:w="100" w:type="dxa"/>
            </w:tcMar>
          </w:tcPr>
          <w:p>
            <w:pPr>
              <w:spacing w:before="0" w:after="0"/>
              <w:jc w:val="left"/>
            </w:pPr>
            <w:r>
              <w:rPr>
                <w:rFonts w:ascii="Times New Roman" w:hAnsi="Times New Roman"/>
                <w:b/>
                <w:color w:val="222222"/>
                <w:sz w:val="17"/>
              </w:rPr>
              <w:t>Cybersecurity Operations</w:t>
            </w:r>
          </w:p>
        </w:tc>
        <w:tc>
          <w:tcPr>
            <w:tcW w:type="dxa" w:w="3312"/>
            <w:tcMar>
              <w:top w:w="70" w:type="dxa"/>
              <w:bottom w:w="70" w:type="dxa"/>
              <w:left w:w="100" w:type="dxa"/>
              <w:right w:w="100" w:type="dxa"/>
            </w:tcMar>
          </w:tcPr>
          <w:p>
            <w:pPr>
              <w:spacing w:before="0" w:after="0"/>
              <w:jc w:val="left"/>
            </w:pPr>
            <w:r>
              <w:rPr>
                <w:rFonts w:ascii="Times New Roman" w:hAnsi="Times New Roman"/>
                <w:color w:val="222222"/>
                <w:sz w:val="17"/>
              </w:rPr>
              <w:t>Mapping feature shifts to automated SOAR playbook rule synthesis.</w:t>
            </w:r>
          </w:p>
        </w:tc>
        <w:tc>
          <w:tcPr>
            <w:tcW w:type="dxa" w:w="3456"/>
            <w:tcMar>
              <w:top w:w="70" w:type="dxa"/>
              <w:bottom w:w="70" w:type="dxa"/>
              <w:left w:w="100" w:type="dxa"/>
              <w:right w:w="100" w:type="dxa"/>
            </w:tcMar>
          </w:tcPr>
          <w:p>
            <w:pPr>
              <w:spacing w:before="0" w:after="0"/>
              <w:jc w:val="left"/>
            </w:pPr>
            <w:r>
              <w:rPr>
                <w:rFonts w:ascii="Times New Roman" w:hAnsi="Times New Roman"/>
                <w:color w:val="222222"/>
                <w:sz w:val="17"/>
              </w:rPr>
              <w:t>Exposes operational threat hypothesis: drifted rules create fragile ACLs bypassed by padding.</w:t>
            </w:r>
          </w:p>
        </w:tc>
      </w:tr>
      <w:tr>
        <w:tc>
          <w:tcPr>
            <w:tcW w:type="dxa" w:w="2592"/>
            <w:tcMar>
              <w:top w:w="70" w:type="dxa"/>
              <w:bottom w:w="70" w:type="dxa"/>
              <w:left w:w="100" w:type="dxa"/>
              <w:right w:w="100" w:type="dxa"/>
            </w:tcMar>
          </w:tcPr>
          <w:p>
            <w:pPr>
              <w:spacing w:before="0" w:after="0"/>
              <w:jc w:val="left"/>
            </w:pPr>
            <w:r>
              <w:rPr>
                <w:rFonts w:ascii="Times New Roman" w:hAnsi="Times New Roman"/>
                <w:b/>
                <w:color w:val="222222"/>
                <w:sz w:val="17"/>
              </w:rPr>
              <w:t>Regulatory Governance</w:t>
            </w:r>
          </w:p>
        </w:tc>
        <w:tc>
          <w:tcPr>
            <w:tcW w:type="dxa" w:w="3312"/>
            <w:tcMar>
              <w:top w:w="70" w:type="dxa"/>
              <w:bottom w:w="70" w:type="dxa"/>
              <w:left w:w="100" w:type="dxa"/>
              <w:right w:w="100" w:type="dxa"/>
            </w:tcMar>
          </w:tcPr>
          <w:p>
            <w:pPr>
              <w:spacing w:before="0" w:after="0"/>
              <w:jc w:val="left"/>
            </w:pPr>
            <w:r>
              <w:rPr>
                <w:rFonts w:ascii="Times New Roman" w:hAnsi="Times New Roman"/>
                <w:color w:val="222222"/>
                <w:sz w:val="17"/>
              </w:rPr>
              <w:t>Dual-Fidelity certification protocol mapping to EU AI Act Art. 13 &amp; GDPR.</w:t>
            </w:r>
          </w:p>
        </w:tc>
        <w:tc>
          <w:tcPr>
            <w:tcW w:type="dxa" w:w="3456"/>
            <w:tcMar>
              <w:top w:w="70" w:type="dxa"/>
              <w:bottom w:w="70" w:type="dxa"/>
              <w:left w:w="100" w:type="dxa"/>
              <w:right w:w="100" w:type="dxa"/>
            </w:tcMar>
          </w:tcPr>
          <w:p>
            <w:pPr>
              <w:spacing w:before="0" w:after="0"/>
              <w:jc w:val="left"/>
            </w:pPr>
            <w:r>
              <w:rPr>
                <w:rFonts w:ascii="Times New Roman" w:hAnsi="Times New Roman"/>
                <w:color w:val="222222"/>
                <w:sz w:val="17"/>
              </w:rPr>
              <w:t>Translates academic XAI metrics into actionable technical governance and auditing criteria.</w:t>
            </w:r>
          </w:p>
        </w:tc>
      </w:tr>
    </w:tbl>
    <w:p>
      <w:pPr>
        <w:spacing w:before="120" w:after="24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A0AEC0"/>
        <w:sz w:val="17"/>
      </w:rPr>
      <w:t>RESEARCH METHODOLOGY — INVESTIGATING ATTRIBUTION DRIFT IN QUANTIZED 1D CNNS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18096"/>
        <w:sz w:val="17"/>
      </w:rPr>
      <w:t>MANUSCRIPT DRAFT — UNDER PEER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