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B2545"/>
          <w:sz w:val="32"/>
        </w:rPr>
        <w:t>Investigating Attribution Drift in INT8-Quantized 1D CNNs for Encrypted Traffic Classification</w:t>
      </w:r>
    </w:p>
    <w:p>
      <w:pPr>
        <w:spacing w:before="0" w:after="200"/>
        <w:jc w:val="center"/>
      </w:pPr>
      <w:r>
        <w:rPr>
          <w:rFonts w:ascii="Times New Roman" w:hAnsi="Times New Roman"/>
          <w:i/>
          <w:color w:val="134074"/>
          <w:sz w:val="23"/>
        </w:rPr>
        <w:t>Comprehensive Research Methodology: Quantitative Empirical Formulations and Qualitative Operational Threat Modeling</w:t>
      </w:r>
    </w:p>
    <w:p>
      <w:pPr>
        <w:spacing w:before="0" w:after="240"/>
        <w:jc w:val="center"/>
      </w:pPr>
      <w:r>
        <w:rPr>
          <w:rFonts w:ascii="Times New Roman" w:hAnsi="Times New Roman"/>
          <w:b/>
          <w:sz w:val="22"/>
        </w:rPr>
        <w:t>Nur Nafis Fuad</w:t>
        <w:br/>
      </w:r>
      <w:r>
        <w:rPr>
          <w:rFonts w:ascii="Times New Roman" w:hAnsi="Times New Roman"/>
          <w:color w:val="4A5568"/>
          <w:sz w:val="19"/>
        </w:rPr>
        <w:t>Department of Electrical and Computer Engineering, Rajshahi University of Engineering &amp; Technology (RUET), Bangladesh</w:t>
      </w:r>
    </w:p>
    <w:p>
      <w:pPr>
        <w:spacing w:before="120" w:after="240" w:line="276" w:lineRule="auto"/>
        <w:ind w:left="576" w:right="576"/>
        <w:jc w:val="both"/>
        <w:pBdr>
          <w:left w:val="single" w:sz="18" w:space="10" w:color="0B2545"/>
        </w:pBdr>
        <w:shd w:fill="F8FAFC"/>
      </w:pPr>
      <w:r>
        <w:rPr>
          <w:rFonts w:ascii="Times New Roman" w:hAnsi="Times New Roman"/>
          <w:b/>
          <w:color w:val="0B2545"/>
          <w:sz w:val="19"/>
        </w:rPr>
        <w:t>Abstract—</w:t>
      </w:r>
      <w:r>
        <w:rPr>
          <w:rFonts w:ascii="Times New Roman" w:hAnsi="Times New Roman"/>
          <w:color w:val="2D3748"/>
          <w:sz w:val="19"/>
        </w:rPr>
        <w:t xml:space="preserve"> This methodology specifies the mathematical formulations, experimental protocols, and analytical workflows for investigating attribution drift: divergence between feature-attribution profiles from full-precision (FP32) and quantized (INT8) 1D Convolutional Neural Networks. Rather than presuming that predictive performance is preserved or that attribution drift is established, the study tests these outcomes using reproducible model artifacts, held-out predictions, attribution arrays, and analysis scripts. The methodology is structured into two complementary sections: (1) Quantitative Methodology, specifying bidirectional flow extraction, multi-channel tensor featurization, the 44,129-parameter network architecture, quantization arithmetic, KernelSHAP and Integrated Gradients, rank statistics, confounder regressions, and combinatorial chance baselines; and (2) Qualitative Methodology, presenting a hypothesized SIEM/SOAR threat pathway, temporal attribution analysis, application-level profiling, and a proposed model-governance audit protocol.</w:t>
      </w:r>
    </w:p>
    <w:p>
      <w:pPr>
        <w:keepNext/>
        <w:spacing w:before="280" w:after="80"/>
      </w:pPr>
      <w:r>
        <w:rPr>
          <w:rFonts w:ascii="Times New Roman" w:hAnsi="Times New Roman"/>
          <w:b/>
          <w:color w:val="0B2545"/>
          <w:sz w:val="26"/>
        </w:rPr>
        <w:t>1. QUANTITATIVE METHODOLOGY</w:t>
      </w:r>
    </w:p>
    <w:p>
      <w:pPr>
        <w:keepNext/>
        <w:spacing w:before="200" w:after="60"/>
      </w:pPr>
      <w:r>
        <w:rPr>
          <w:rFonts w:ascii="Times New Roman" w:hAnsi="Times New Roman"/>
          <w:b/>
          <w:color w:val="134074"/>
          <w:sz w:val="22"/>
        </w:rPr>
        <w:t>1.1 Dataset Provenance &amp; Streaming Ingestion Pipeline</w:t>
      </w:r>
    </w:p>
    <w:p>
      <w:pPr>
        <w:spacing w:before="0" w:after="100" w:line="276" w:lineRule="auto"/>
        <w:jc w:val="both"/>
      </w:pPr>
      <w:r>
        <w:rPr>
          <w:rFonts w:ascii="Times New Roman" w:hAnsi="Times New Roman"/>
          <w:color w:val="222222"/>
          <w:sz w:val="20"/>
        </w:rPr>
        <w:t>Empirical Benchmark Selection &amp; Generalizability Boundary: Experiments are conducted on the benchmark ISCX VPN-NonVPN 2016 dataset, comprising 140 raw packet capture (PCAP/PCAPNG) files containing network traffic across application categories such as file transfer, media streaming, messaging, and voice-over-IP. The exact on-disk size and file manifest should be recorded for the specific dataset copy used in the experiment. The benchmark provides an open, reproducible foundation for encrypted-traffic classification research. Findings are bounded to this benchmark topology; whether the same attribution-drift patterns occur with contemporary QUIC/HTTP/3 traffic, Encrypted Client Hello, randomized padding, or unseen enterprise topologies requires separate external evaluation.</w:t>
      </w:r>
    </w:p>
    <w:p>
      <w:pPr>
        <w:spacing w:before="0" w:after="100" w:line="276" w:lineRule="auto"/>
        <w:jc w:val="both"/>
      </w:pPr>
      <w:r>
        <w:rPr>
          <w:rFonts w:ascii="Times New Roman" w:hAnsi="Times New Roman"/>
          <w:color w:val="222222"/>
          <w:sz w:val="20"/>
        </w:rPr>
        <w:t>Streaming Parallel Ingestion &amp; Canonical Flow Reassembly: To process multi-gigabyte continuous packet streams without memory exhaustion, an asynchronous pipeline is implemented utilizing Python's dpkt packet parsing engine integrated with concurrent.futures.ProcessPoolExecutor. Crucially, to preserve endpoint integrity during bidirectional flow matching, endpoint pairs E_1 = (IP_src, P_src) and E_2 = (IP_dst, P_dst) are canonicalized via complete lexicographical tuple comparison rather than sorting IP addresses and ports independently:</w:t>
      </w:r>
    </w:p>
    <w:p>
      <w:pPr>
        <w:tabs>
          <w:tab w:pos="9360" w:val="right"/>
        </w:tabs>
        <w:spacing w:before="80" w:after="100" w:line="276" w:lineRule="auto"/>
        <w:ind w:left="576"/>
      </w:pPr>
      <m:oMath>
        <m:r>
          <m:t>FlowKey = </m:t>
        </m:r>
        <m:d>
          <m:dPr>
            <m:begChr m:val="("/>
            <m:endChr m:val=")"/>
          </m:dPr>
          <m:e>
            <m:sSub>
              <m:e>
                <m:r>
                  <m:t>min</m:t>
                </m:r>
              </m:e>
              <m:sub>
                <m:r>
                  <m:t>lex</m:t>
                </m:r>
              </m:sub>
            </m:sSub>
            <m:d>
              <m:dPr>
                <m:begChr m:val="("/>
                <m:endChr m:val=")"/>
              </m:dPr>
              <m:e>
                <m:sSub>
                  <m:e>
                    <m:r>
                      <m:t>E</m:t>
                    </m:r>
                  </m:e>
                  <m:sub>
                    <m:r>
                      <m:t>1</m:t>
                    </m:r>
                  </m:sub>
                </m:sSub>
                <m:r>
                  <m:t>, </m:t>
                </m:r>
                <m:sSub>
                  <m:e>
                    <m:r>
                      <m:t>E</m:t>
                    </m:r>
                  </m:e>
                  <m:sub>
                    <m:r>
                      <m:t>2</m:t>
                    </m:r>
                  </m:sub>
                </m:sSub>
              </m:e>
            </m:d>
            <m:r>
              <m:t>, </m:t>
            </m:r>
            <m:sSub>
              <m:e>
                <m:r>
                  <m:t>max</m:t>
                </m:r>
              </m:e>
              <m:sub>
                <m:r>
                  <m:t>lex</m:t>
                </m:r>
              </m:sub>
            </m:sSub>
            <m:d>
              <m:dPr>
                <m:begChr m:val="("/>
                <m:endChr m:val=")"/>
              </m:dPr>
              <m:e>
                <m:sSub>
                  <m:e>
                    <m:r>
                      <m:t>E</m:t>
                    </m:r>
                  </m:e>
                  <m:sub>
                    <m:r>
                      <m:t>1</m:t>
                    </m:r>
                  </m:sub>
                </m:sSub>
                <m:r>
                  <m:t>, </m:t>
                </m:r>
                <m:sSub>
                  <m:e>
                    <m:r>
                      <m:t>E</m:t>
                    </m:r>
                  </m:e>
                  <m:sub>
                    <m:r>
                      <m:t>2</m:t>
                    </m:r>
                  </m:sub>
                </m:sSub>
              </m:e>
            </m:d>
            <m:r>
              <m:t>,  Protocol</m:t>
            </m:r>
          </m:e>
        </m:d>
      </m:oMath>
      <w:r>
        <w:rPr>
          <w:rFonts w:ascii="Times New Roman" w:hAnsi="Times New Roman"/>
          <w:b/>
          <w:color w:val="4A5568"/>
          <w:sz w:val="20"/>
        </w:rPr>
        <w:tab/>
        <w:t>(1)</w:t>
      </w:r>
    </w:p>
    <w:p>
      <w:pPr>
        <w:spacing w:before="0" w:after="100" w:line="276" w:lineRule="auto"/>
        <w:jc w:val="both"/>
      </w:pPr>
      <w:r>
        <w:rPr>
          <w:rFonts w:ascii="Times New Roman" w:hAnsi="Times New Roman"/>
          <w:color w:val="222222"/>
          <w:sz w:val="20"/>
        </w:rPr>
        <w:t>where min_lex and max_lex enforce strict lexicographic ordering over the paired address-port structures: if (IP_src, P_src) &lt; (IP_dst, P_dst), the forward transmission direction is designated d_t = +1; otherwise d_t = -1. TCP and UDP packets are parsed symmetrically, with an inactivity timeout of Delta_t_inactive = 120 seconds segmenting distinct conversational flows. Packets lacking valid transport-layer headers are discarded. Across the 140 raw captures, the pipeline extracts exactly 55,498 valid bidirectional network flows.</w:t>
      </w:r>
    </w:p>
    <w:p>
      <w:pPr>
        <w:keepNext/>
        <w:spacing w:before="200" w:after="60"/>
      </w:pPr>
      <w:r>
        <w:rPr>
          <w:rFonts w:ascii="Times New Roman" w:hAnsi="Times New Roman"/>
          <w:b/>
          <w:color w:val="134074"/>
          <w:sz w:val="22"/>
        </w:rPr>
        <w:t>1.2 Behavioral Feature Engineering &amp; Tensor Formulation</w:t>
      </w:r>
    </w:p>
    <w:p>
      <w:pPr>
        <w:spacing w:before="0" w:after="100" w:line="276" w:lineRule="auto"/>
        <w:jc w:val="both"/>
      </w:pPr>
      <w:r>
        <w:rPr>
          <w:rFonts w:ascii="Times New Roman" w:hAnsi="Times New Roman"/>
          <w:color w:val="222222"/>
          <w:sz w:val="20"/>
        </w:rPr>
        <w:t>Because modern cryptographic protocols (e.g., TLS 1.3, QUIC, WireGuard) employ authenticated ciphers that restrict Deep Packet Inspection (DPI) of application payloads, network security monitoring increasingly relies on transport-layer behavioral metadata. Each flow is transformed into a standardized two-channel numerical tensor X in R^{2 x 64}, capturing the sequence of the first N = 64 packets:</w:t>
      </w:r>
    </w:p>
    <w:p>
      <w:pPr>
        <w:spacing w:before="0" w:after="100" w:line="276" w:lineRule="auto"/>
        <w:jc w:val="both"/>
      </w:pPr>
      <w:r>
        <w:rPr>
          <w:rFonts w:ascii="Times New Roman" w:hAnsi="Times New Roman"/>
          <w:color w:val="222222"/>
          <w:sz w:val="20"/>
        </w:rPr>
        <w:t>1. Channel 0: Normalized Directional Captured Packet Length (X_{0, t}): Represents the captured raw Ethernet frame wire length S_t in bytes as reported by the packet-capture layer, signed by transmission direction d_t in {-1, +1} and divided by a chosen 1500-byte normalization reference. This reference is a scaling choice; it does not imply that captured Ethernet frame length is identical to the IP MTU or transport payload length. Values are clipped to [-1.0, 1.0]. The implementation must record the exact parser field and how truncated or oversized frames are handled:</w:t>
      </w:r>
    </w:p>
    <w:p>
      <w:pPr>
        <w:tabs>
          <w:tab w:pos="9360" w:val="right"/>
        </w:tabs>
        <w:spacing w:before="80" w:after="100" w:line="276" w:lineRule="auto"/>
        <w:ind w:left="576"/>
      </w:pPr>
      <m:oMath>
        <m:sSub>
          <m:e>
            <m:r>
              <m:t>X</m:t>
            </m:r>
          </m:e>
          <m:sub>
            <m:r>
              <m:t>0, t</m:t>
            </m:r>
          </m:sub>
        </m:sSub>
        <m:r>
          <m:t> = </m:t>
        </m:r>
        <m:sSub>
          <m:e>
            <m:r>
              <m:t>d</m:t>
            </m:r>
          </m:e>
          <m:sub>
            <m:r>
              <m:t>t</m:t>
            </m:r>
          </m:sub>
        </m:sSub>
        <m:r>
          <m:t> · clip</m:t>
        </m:r>
        <m:d>
          <m:dPr>
            <m:begChr m:val="("/>
            <m:endChr m:val=")"/>
          </m:dPr>
          <m:e>
            <m:f>
              <m:num>
                <m:sSub>
                  <m:e>
                    <m:r>
                      <m:t>S</m:t>
                    </m:r>
                  </m:e>
                  <m:sub>
                    <m:r>
                      <m:t>t</m:t>
                    </m:r>
                  </m:sub>
                </m:sSub>
              </m:num>
              <m:den>
                <m:r>
                  <m:t>1500</m:t>
                </m:r>
              </m:den>
            </m:f>
            <m:r>
              <m:t>,  0,  1</m:t>
            </m:r>
          </m:e>
        </m:d>
        <m:r>
          <m:t>,    </m:t>
        </m:r>
        <m:sSub>
          <m:e>
            <m:r>
              <m:t>d</m:t>
            </m:r>
          </m:e>
          <m:sub>
            <m:r>
              <m:t>t</m:t>
            </m:r>
          </m:sub>
        </m:sSub>
        <m:r>
          <m:t> ∈ {-1,  +1}</m:t>
        </m:r>
      </m:oMath>
      <w:r>
        <w:rPr>
          <w:rFonts w:ascii="Times New Roman" w:hAnsi="Times New Roman"/>
          <w:b/>
          <w:color w:val="4A5568"/>
          <w:sz w:val="20"/>
        </w:rPr>
        <w:tab/>
        <w:t>(2)</w:t>
      </w:r>
    </w:p>
    <w:p>
      <w:pPr>
        <w:spacing w:before="0" w:after="100" w:line="276" w:lineRule="auto"/>
        <w:jc w:val="both"/>
      </w:pPr>
      <w:r>
        <w:rPr>
          <w:rFonts w:ascii="Times New Roman" w:hAnsi="Times New Roman"/>
          <w:color w:val="222222"/>
          <w:sz w:val="20"/>
        </w:rPr>
        <w:t>2. Channel 1: Log-Scaled Inter-Arrival Time (X_{1, t}): Encodes the chronological arrival interval Delta_T_t = t_t - t_{t-1} in seconds between consecutive packets. To compress multi-order-of-magnitude dynamic ranges and neutralize keep-alive idle timeouts, arrival intervals are clamped at 5.0 seconds and log-transformed. For the initial flow packet (t = 0), inter-arrival latency is explicitly defined relative to flow inception as Delta_T_0 ≡ 0.0 seconds, yielding X_{1, 0} = 0.0:</w:t>
      </w:r>
    </w:p>
    <w:p>
      <w:pPr>
        <w:tabs>
          <w:tab w:pos="9360" w:val="right"/>
        </w:tabs>
        <w:spacing w:before="80" w:after="100" w:line="276" w:lineRule="auto"/>
        <w:ind w:left="576"/>
      </w:pPr>
      <m:oMath>
        <m:sSub>
          <m:e>
            <m:r>
              <m:t>X</m:t>
            </m:r>
          </m:e>
          <m:sub>
            <m:r>
              <m:t>1, t</m:t>
            </m:r>
          </m:sub>
        </m:sSub>
        <m:r>
          <m:t> = </m:t>
        </m:r>
        <m:f>
          <m:num>
            <m:r>
              <m:t>ln</m:t>
            </m:r>
            <m:d>
              <m:dPr>
                <m:begChr m:val="("/>
                <m:endChr m:val=")"/>
              </m:dPr>
              <m:e>
                <m:r>
                  <m:t>1 + clip</m:t>
                </m:r>
                <m:d>
                  <m:dPr>
                    <m:begChr m:val="("/>
                    <m:endChr m:val=")"/>
                  </m:dPr>
                  <m:e>
                    <m:sSub>
                      <m:e>
                        <m:r>
                          <m:t>ΔT</m:t>
                        </m:r>
                      </m:e>
                      <m:sub>
                        <m:r>
                          <m:t>t</m:t>
                        </m:r>
                      </m:sub>
                    </m:sSub>
                    <m:r>
                      <m:t>,  0,  5.0</m:t>
                    </m:r>
                  </m:e>
                </m:d>
              </m:e>
            </m:d>
          </m:num>
          <m:den>
            <m:r>
              <m:t>ln(6.0)</m:t>
            </m:r>
          </m:den>
        </m:f>
        <m:r>
          <m:t>,    </m:t>
        </m:r>
        <m:sSub>
          <m:e>
            <m:r>
              <m:t>ΔT</m:t>
            </m:r>
          </m:e>
          <m:sub>
            <m:r>
              <m:t>0</m:t>
            </m:r>
          </m:sub>
        </m:sSub>
        <m:r>
          <m:t> ≡ 0.0 s</m:t>
        </m:r>
      </m:oMath>
      <w:r>
        <w:rPr>
          <w:rFonts w:ascii="Times New Roman" w:hAnsi="Times New Roman"/>
          <w:b/>
          <w:color w:val="4A5568"/>
          <w:sz w:val="20"/>
        </w:rPr>
        <w:tab/>
        <w:t>(3)</w:t>
      </w:r>
    </w:p>
    <w:p>
      <w:pPr>
        <w:spacing w:before="0" w:after="100" w:line="276" w:lineRule="auto"/>
        <w:jc w:val="both"/>
      </w:pPr>
      <w:r>
        <w:rPr>
          <w:rFonts w:ascii="Times New Roman" w:hAnsi="Times New Roman"/>
          <w:color w:val="222222"/>
          <w:sz w:val="20"/>
        </w:rPr>
        <w:t>3. Zero-Padding &amp; Observational Validity Masking: Flows terminating prior to 64 packets (sequence length L &lt; 64) are right-padded with zeros (X_{:, t} = [0.0, 0.0]^T for t &gt;= L). An observational validity mask M in {0, 1}^64 records observed packet slots:</w:t>
      </w:r>
    </w:p>
    <w:p>
      <w:pPr>
        <w:tabs>
          <w:tab w:pos="9360" w:val="right"/>
        </w:tabs>
        <w:spacing w:before="80" w:after="100" w:line="276" w:lineRule="auto"/>
        <w:ind w:left="576"/>
      </w:pPr>
      <m:oMath>
        <m:sSub>
          <m:e>
            <m:r>
              <m:t>M</m:t>
            </m:r>
          </m:e>
          <m:sub>
            <m:r>
              <m:t>t</m:t>
            </m:r>
          </m:sub>
        </m:sSub>
        <m:r>
          <m:t> = </m:t>
        </m:r>
        <m:d>
          <m:dPr>
            <m:begChr m:val="{"/>
            <m:endChr m:val=""/>
          </m:dPr>
          <m:e>
            <m:eqArr>
              <m:e>
                <m:r>
                  <m:t>1,    if  t &lt; L  (observed packet)</m:t>
                </m:r>
              </m:e>
              <m:e>
                <m:r>
                  <m:t>0,    if  t ≥ L  (zero-padded slot)</m:t>
                </m:r>
              </m:e>
            </m:eqArr>
          </m:e>
        </m:d>
      </m:oMath>
      <w:r>
        <w:rPr>
          <w:rFonts w:ascii="Times New Roman" w:hAnsi="Times New Roman"/>
          <w:b/>
          <w:color w:val="4A5568"/>
          <w:sz w:val="20"/>
        </w:rPr>
        <w:tab/>
        <w:t>(4)</w:t>
      </w:r>
    </w:p>
    <w:p>
      <w:pPr>
        <w:spacing w:before="160" w:after="160" w:line="276" w:lineRule="auto"/>
        <w:ind w:left="432" w:right="288"/>
        <w:pBdr>
          <w:left w:val="single" w:sz="24" w:space="12" w:color="0B2545"/>
        </w:pBdr>
        <w:shd w:fill="F8FAFC"/>
      </w:pPr>
      <w:r>
        <w:rPr>
          <w:rFonts w:ascii="Times New Roman" w:hAnsi="Times New Roman"/>
          <w:b/>
          <w:color w:val="0B2545"/>
          <w:sz w:val="20"/>
        </w:rPr>
        <w:t>Methodological Note on Masking Semantics</w:t>
        <w:br/>
      </w:r>
      <w:r>
        <w:rPr>
          <w:rFonts w:ascii="Times New Roman" w:hAnsi="Times New Roman"/>
          <w:i/>
          <w:color w:val="2D3748"/>
          <w:sz w:val="19"/>
        </w:rPr>
        <w:t>It is vital to distinguish observational validity from model dependence. Padded zero-values do not represent game-theoretic null players within a convolutional neural network, because multi-layer receptive fields and batch normalization statistics allow zero-valued slots to influence neighboring representations. Masking inactive positions (t &gt;= L) during attribution evaluation is strictly an observational reporting convention designed to prevent artificial rank inflation on unobserved temporal slots.</w:t>
      </w:r>
    </w:p>
    <w:p>
      <w:pPr>
        <w:spacing w:before="0" w:after="100" w:line="276" w:lineRule="auto"/>
        <w:jc w:val="both"/>
      </w:pPr>
      <w:r>
        <w:rPr>
          <w:rFonts w:ascii="Times New Roman" w:hAnsi="Times New Roman"/>
          <w:color w:val="222222"/>
          <w:sz w:val="20"/>
        </w:rPr>
        <w:t>Dataset Partitioning and Generalization Evaluation: The dataset contains 53,019 Non-VPN flows (95.53%) and 2,479 VPN flows (4.47%), establishing a severe 21.39:1 class imbalance ratio. To balance comparability with prior literature against methodological rigor, two distinct evaluation partition schemes are formulated:</w:t>
      </w:r>
    </w:p>
    <w:p>
      <w:pPr>
        <w:spacing w:before="0" w:after="100" w:line="276" w:lineRule="auto"/>
        <w:jc w:val="both"/>
      </w:pPr>
      <w:r>
        <w:rPr>
          <w:rFonts w:ascii="Times New Roman" w:hAnsi="Times New Roman"/>
          <w:color w:val="222222"/>
          <w:sz w:val="20"/>
        </w:rPr>
        <w:t>• Evaluation A (Benchmark Stratified Partitioning): The entire corpus is partitioned using flow-level stratified splitting across both class labels and application types into a 70% training set (38,848 flows), a 15% validation set (8,325 flows), and a 15% test set (8,325 flows), as summarized in Table I. This protocol replicates established benchmarks in encrypted-traffic classification for direct baseline comparison.</w:t>
      </w:r>
    </w:p>
    <w:p>
      <w:pPr>
        <w:spacing w:before="0" w:after="100" w:line="276" w:lineRule="auto"/>
        <w:jc w:val="both"/>
      </w:pPr>
      <w:r>
        <w:rPr>
          <w:rFonts w:ascii="Times New Roman" w:hAnsi="Times New Roman"/>
          <w:color w:val="222222"/>
          <w:sz w:val="20"/>
        </w:rPr>
        <w:t>• Evaluation B (Capture-Grouped Partitioning / GroupKFold): To assess capture-level dependence and potential session leakage, flows are grouped by their source PCAP file and each group is assigned wholly to one partition or fold. No flows from the same source capture may cross the train/validation/test boundary within a given evaluation. Report the number of capture groups and class distribution in each partition; if a group split leaves a class absent from a partition, disclose that limitation. This evaluation tests cross-capture generalization and does not by itself establish generalization to contemporary networks.</w:t>
      </w:r>
    </w:p>
    <w:p>
      <w:pPr>
        <w:keepNext/>
        <w:spacing w:before="160" w:after="40"/>
      </w:pPr>
      <w:r>
        <w:rPr>
          <w:rFonts w:ascii="Times New Roman" w:hAnsi="Times New Roman"/>
          <w:b/>
          <w:color w:val="0B2545"/>
          <w:sz w:val="19"/>
        </w:rPr>
        <w:t>TABLE I: DATASET PARTITIONING AND STRATIFIED CLASS DISTRIBUTION</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1872"/>
        <w:gridCol w:w="1872"/>
        <w:gridCol w:w="1872"/>
        <w:gridCol w:w="1872"/>
        <w:gridCol w:w="1872"/>
      </w:tblGrid>
      <w:tr>
        <w:tc>
          <w:tcPr>
            <w:tcW w:type="dxa" w:w="2160"/>
            <w:tcMar>
              <w:top w:w="90" w:type="dxa"/>
              <w:bottom w:w="90" w:type="dxa"/>
              <w:left w:w="120" w:type="dxa"/>
              <w:right w:w="120" w:type="dxa"/>
            </w:tcMar>
            <w:shd w:fill="F0F4F8"/>
          </w:tcPr>
          <w:p>
            <w:pPr>
              <w:spacing w:before="0" w:after="0"/>
              <w:jc w:val="center"/>
            </w:pPr>
            <w:r>
              <w:rPr>
                <w:rFonts w:ascii="Times New Roman" w:hAnsi="Times New Roman"/>
                <w:b/>
                <w:color w:val="0B2545"/>
                <w:sz w:val="18"/>
              </w:rPr>
              <w:t>Partition Split</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Non-VPN Flows</w:t>
            </w:r>
          </w:p>
        </w:tc>
        <w:tc>
          <w:tcPr>
            <w:tcW w:type="dxa" w:w="1584"/>
            <w:tcMar>
              <w:top w:w="90" w:type="dxa"/>
              <w:bottom w:w="90" w:type="dxa"/>
              <w:left w:w="120" w:type="dxa"/>
              <w:right w:w="120" w:type="dxa"/>
            </w:tcMar>
            <w:shd w:fill="F0F4F8"/>
          </w:tcPr>
          <w:p>
            <w:pPr>
              <w:spacing w:before="0" w:after="0"/>
              <w:jc w:val="center"/>
            </w:pPr>
            <w:r>
              <w:rPr>
                <w:rFonts w:ascii="Times New Roman" w:hAnsi="Times New Roman"/>
                <w:b/>
                <w:color w:val="0B2545"/>
                <w:sz w:val="18"/>
              </w:rPr>
              <w:t>VPN Flows</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Total Flows</w:t>
            </w:r>
          </w:p>
        </w:tc>
        <w:tc>
          <w:tcPr>
            <w:tcW w:type="dxa" w:w="1872"/>
            <w:tcMar>
              <w:top w:w="90" w:type="dxa"/>
              <w:bottom w:w="90" w:type="dxa"/>
              <w:left w:w="120" w:type="dxa"/>
              <w:right w:w="120" w:type="dxa"/>
            </w:tcMar>
            <w:shd w:fill="F0F4F8"/>
          </w:tcPr>
          <w:p>
            <w:pPr>
              <w:spacing w:before="0" w:after="0"/>
              <w:jc w:val="center"/>
            </w:pPr>
            <w:r>
              <w:rPr>
                <w:rFonts w:ascii="Times New Roman" w:hAnsi="Times New Roman"/>
                <w:b/>
                <w:color w:val="0B2545"/>
                <w:sz w:val="18"/>
              </w:rPr>
              <w:t>Proportion (%)</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Training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37,115</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1,733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38,848</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70.00%</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Validation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7,952</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373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8,325</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15.00%</w:t>
            </w:r>
          </w:p>
        </w:tc>
      </w:tr>
      <w:tr>
        <w:tc>
          <w:tcPr>
            <w:tcW w:type="dxa" w:w="2160"/>
            <w:tcMar>
              <w:top w:w="70" w:type="dxa"/>
              <w:bottom w:w="70" w:type="dxa"/>
              <w:left w:w="120" w:type="dxa"/>
              <w:right w:w="120" w:type="dxa"/>
            </w:tcMar>
          </w:tcPr>
          <w:p>
            <w:pPr>
              <w:spacing w:before="0" w:after="0"/>
              <w:jc w:val="left"/>
            </w:pPr>
            <w:r>
              <w:rPr>
                <w:rFonts w:ascii="Times New Roman" w:hAnsi="Times New Roman"/>
                <w:color w:val="222222"/>
                <w:sz w:val="18"/>
              </w:rPr>
              <w:t>Test Set</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7,952</w:t>
            </w:r>
          </w:p>
        </w:tc>
        <w:tc>
          <w:tcPr>
            <w:tcW w:type="dxa" w:w="1584"/>
            <w:tcMar>
              <w:top w:w="70" w:type="dxa"/>
              <w:bottom w:w="70" w:type="dxa"/>
              <w:left w:w="120" w:type="dxa"/>
              <w:right w:w="120" w:type="dxa"/>
            </w:tcMar>
          </w:tcPr>
          <w:p>
            <w:pPr>
              <w:spacing w:before="0" w:after="0"/>
              <w:jc w:val="center"/>
            </w:pPr>
            <w:r>
              <w:rPr>
                <w:rFonts w:ascii="Times New Roman" w:hAnsi="Times New Roman"/>
                <w:color w:val="222222"/>
                <w:sz w:val="18"/>
              </w:rPr>
              <w:t>373</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8,325</w:t>
            </w:r>
          </w:p>
        </w:tc>
        <w:tc>
          <w:tcPr>
            <w:tcW w:type="dxa" w:w="1872"/>
            <w:tcMar>
              <w:top w:w="70" w:type="dxa"/>
              <w:bottom w:w="70" w:type="dxa"/>
              <w:left w:w="120" w:type="dxa"/>
              <w:right w:w="120" w:type="dxa"/>
            </w:tcMar>
          </w:tcPr>
          <w:p>
            <w:pPr>
              <w:spacing w:before="0" w:after="0"/>
              <w:jc w:val="center"/>
            </w:pPr>
            <w:r>
              <w:rPr>
                <w:rFonts w:ascii="Times New Roman" w:hAnsi="Times New Roman"/>
                <w:color w:val="222222"/>
                <w:sz w:val="18"/>
              </w:rPr>
              <w:t>15.00%</w:t>
            </w:r>
          </w:p>
        </w:tc>
      </w:tr>
      <w:tr>
        <w:tc>
          <w:tcPr>
            <w:tcW w:type="dxa" w:w="2160"/>
            <w:tcMar>
              <w:top w:w="70" w:type="dxa"/>
              <w:bottom w:w="70" w:type="dxa"/>
              <w:left w:w="120" w:type="dxa"/>
              <w:right w:w="120" w:type="dxa"/>
            </w:tcMar>
          </w:tcPr>
          <w:p>
            <w:pPr>
              <w:spacing w:before="0" w:after="0"/>
              <w:jc w:val="left"/>
            </w:pPr>
            <w:r>
              <w:rPr>
                <w:rFonts w:ascii="Times New Roman" w:hAnsi="Times New Roman"/>
                <w:b/>
                <w:color w:val="222222"/>
                <w:sz w:val="18"/>
              </w:rPr>
              <w:t>Total Corpus</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53,019</w:t>
            </w:r>
          </w:p>
        </w:tc>
        <w:tc>
          <w:tcPr>
            <w:tcW w:type="dxa" w:w="1584"/>
            <w:tcMar>
              <w:top w:w="70" w:type="dxa"/>
              <w:bottom w:w="70" w:type="dxa"/>
              <w:left w:w="120" w:type="dxa"/>
              <w:right w:w="120" w:type="dxa"/>
            </w:tcMar>
          </w:tcPr>
          <w:p>
            <w:pPr>
              <w:spacing w:before="0" w:after="0"/>
              <w:jc w:val="center"/>
            </w:pPr>
            <w:r>
              <w:rPr>
                <w:rFonts w:ascii="Times New Roman" w:hAnsi="Times New Roman"/>
                <w:b/>
                <w:color w:val="222222"/>
                <w:sz w:val="18"/>
              </w:rPr>
              <w:t>2,479</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55,498</w:t>
            </w:r>
          </w:p>
        </w:tc>
        <w:tc>
          <w:tcPr>
            <w:tcW w:type="dxa" w:w="1872"/>
            <w:tcMar>
              <w:top w:w="70" w:type="dxa"/>
              <w:bottom w:w="70" w:type="dxa"/>
              <w:left w:w="120" w:type="dxa"/>
              <w:right w:w="120" w:type="dxa"/>
            </w:tcMar>
          </w:tcPr>
          <w:p>
            <w:pPr>
              <w:spacing w:before="0" w:after="0"/>
              <w:jc w:val="center"/>
            </w:pPr>
            <w:r>
              <w:rPr>
                <w:rFonts w:ascii="Times New Roman" w:hAnsi="Times New Roman"/>
                <w:b/>
                <w:color w:val="222222"/>
                <w:sz w:val="18"/>
              </w:rPr>
              <w:t>100.00%</w:t>
            </w:r>
          </w:p>
        </w:tc>
      </w:tr>
    </w:tbl>
    <w:p>
      <w:pPr>
        <w:spacing w:before="0" w:after="120"/>
      </w:pPr>
    </w:p>
    <w:p>
      <w:pPr>
        <w:keepNext/>
        <w:spacing w:before="200" w:after="60"/>
      </w:pPr>
      <w:r>
        <w:rPr>
          <w:rFonts w:ascii="Times New Roman" w:hAnsi="Times New Roman"/>
          <w:b/>
          <w:color w:val="134074"/>
          <w:sz w:val="22"/>
        </w:rPr>
        <w:t>1.3 Baseline 1D-CNN Architecture &amp; Imbalance-Aware Optimization</w:t>
      </w:r>
    </w:p>
    <w:p>
      <w:pPr>
        <w:spacing w:before="0" w:after="100" w:line="276" w:lineRule="auto"/>
        <w:jc w:val="both"/>
      </w:pPr>
      <w:r>
        <w:rPr>
          <w:rFonts w:ascii="Times New Roman" w:hAnsi="Times New Roman"/>
          <w:color w:val="222222"/>
          <w:sz w:val="20"/>
        </w:rPr>
        <w:t>Architectural Specification: To target edge firewalls and residential routers with strict silicon constraints, a compact 1D-CNN architecture (Traffic1DCNN) is engineered. The network comprises exactly 44,129 trainable parameters across three convolutional blocks and a fully connected head:</w:t>
      </w:r>
    </w:p>
    <w:p>
      <w:pPr>
        <w:spacing w:before="0" w:after="100" w:line="276" w:lineRule="auto"/>
        <w:jc w:val="both"/>
      </w:pPr>
      <w:r>
        <w:rPr>
          <w:rFonts w:ascii="Times New Roman" w:hAnsi="Times New Roman"/>
          <w:color w:val="222222"/>
          <w:sz w:val="20"/>
        </w:rPr>
        <w:t>• Block 1: Conv1d(2 -&gt; 32, k=5, p=2, bias=True) [320 weights + 32 bias = 352] -&gt; BatchNorm1d(32) [32 affine weights + 32 bias = 64] -&gt; ReLU() -&gt; MaxPool1d(2) [Total: 416 parameters]</w:t>
        <w:br/>
        <w:t>• Block 2: Conv1d(32 -&gt; 64, k=5, p=2, bias=True) [10,240 weights + 64 bias = 10,304] -&gt; BatchNorm1d(64) [64 affine weights + 64 bias = 128] -&gt; ReLU() -&gt; MaxPool1d(2) [Total: 10,432 parameters]</w:t>
        <w:br/>
        <w:t>• Block 3: Conv1d(64 -&gt; 128, k=3, p=1, bias=True) [24,576 weights + 128 bias = 24,704] -&gt; BatchNorm1d(128) [128 affine weights + 128 bias = 256] -&gt; ReLU() -&gt; AdaptiveAvgPool1d(1) [Total: 24,960 parameters]</w:t>
        <w:br/>
        <w:t>• Classifier Head: Linear(128 -&gt; 64) [8,192 weights + 64 bias = 8,256] -&gt; ReLU() -&gt; Dropout(0.3) -&gt; Linear(64 -&gt; 1) [64 weights + 1 bias = 65] [Total: 8,321 parameters]</w:t>
      </w:r>
    </w:p>
    <w:p>
      <w:pPr>
        <w:spacing w:before="0" w:after="100" w:line="276" w:lineRule="auto"/>
        <w:jc w:val="both"/>
      </w:pPr>
      <w:r>
        <w:rPr>
          <w:rFonts w:ascii="Times New Roman" w:hAnsi="Times New Roman"/>
          <w:color w:val="222222"/>
          <w:sz w:val="20"/>
        </w:rPr>
        <w:t>Storage Footprint &amp; Compression Accounting: The 44,129 FP32 parameters require 176,516 bytes (176.516 kB decimal, approximately 172.38 KiB). The convolutional and linear weight tensors contain 43,392 weights; at one byte per INT8 weight, their idealized weight storage is 43,392 bytes before scales, zero-points, biases, and other metadata. The corresponding idealized FP32-to-INT8 weight ratio is approximately 4.07:1. Serialized file-size comparisons must use like-for-like deployment artifacts and report exact bytes; a state_dict and a TorchScript module are different serialization formats and should not be compared as if their size ratio were a pure quantization-compression ratio.</w:t>
      </w:r>
    </w:p>
    <w:p>
      <w:pPr>
        <w:spacing w:before="0" w:after="100" w:line="276" w:lineRule="auto"/>
        <w:jc w:val="both"/>
      </w:pPr>
      <w:r>
        <w:rPr>
          <w:rFonts w:ascii="Times New Roman" w:hAnsi="Times New Roman"/>
          <w:color w:val="222222"/>
          <w:sz w:val="20"/>
        </w:rPr>
        <w:t>Imbalance-Weighted Loss Formulation: To prevent the network from trivially collapsing to majority-class prediction, training optimizes positive-class-weighted Binary Cross-Entropy with Logits (L_wBCE):</w:t>
      </w:r>
    </w:p>
    <w:p>
      <w:pPr>
        <w:tabs>
          <w:tab w:pos="9360" w:val="right"/>
        </w:tabs>
        <w:spacing w:before="80" w:after="100" w:line="276" w:lineRule="auto"/>
        <w:ind w:left="576"/>
      </w:pPr>
      <m:oMath>
        <m:sSub>
          <m:e>
            <m:r>
              <m:t>ℒ</m:t>
            </m:r>
          </m:e>
          <m:sub>
            <m:r>
              <m:t>wBCE</m:t>
            </m:r>
          </m:sub>
        </m:sSub>
        <m:d>
          <m:dPr>
            <m:begChr m:val="("/>
            <m:endChr m:val=")"/>
          </m:dPr>
          <m:e>
            <m:r>
              <m:t>z, y</m:t>
            </m:r>
          </m:e>
        </m:d>
        <m:r>
          <m:t> = - </m:t>
        </m:r>
        <m:d>
          <m:dPr>
            <m:begChr m:val="["/>
            <m:endChr m:val="]"/>
          </m:dPr>
          <m:e>
            <m:r>
              <m:t>w · y · ln σ</m:t>
            </m:r>
            <m:d>
              <m:dPr>
                <m:begChr m:val="("/>
                <m:endChr m:val=")"/>
              </m:dPr>
              <m:e>
                <m:r>
                  <m:t>z</m:t>
                </m:r>
              </m:e>
            </m:d>
            <m:r>
              <m:t> + (1 - y) · ln</m:t>
            </m:r>
            <m:d>
              <m:dPr>
                <m:begChr m:val="("/>
                <m:endChr m:val=")"/>
              </m:dPr>
              <m:e>
                <m:r>
                  <m:t>1 - σ(z)</m:t>
                </m:r>
              </m:e>
            </m:d>
          </m:e>
        </m:d>
      </m:oMath>
      <w:r>
        <w:rPr>
          <w:rFonts w:ascii="Times New Roman" w:hAnsi="Times New Roman"/>
          <w:b/>
          <w:color w:val="4A5568"/>
          <w:sz w:val="20"/>
        </w:rPr>
        <w:tab/>
        <w:t>(5)</w:t>
      </w:r>
    </w:p>
    <w:p>
      <w:pPr>
        <w:spacing w:before="0" w:after="100" w:line="276" w:lineRule="auto"/>
        <w:jc w:val="both"/>
      </w:pPr>
      <w:r>
        <w:rPr>
          <w:rFonts w:ascii="Times New Roman" w:hAnsi="Times New Roman"/>
          <w:color w:val="222222"/>
          <w:sz w:val="20"/>
        </w:rPr>
        <w:t>where z is the scalar output logit, sigma(z) = 1 / (1 + e^{-z}), y in {0, 1}, and the positive class loss weight w is parameterized directly from the training split ratio: w = N_{train, Non-VPN} / N_{train, VPN} = 37,115 / 1,733 = 21.4166.</w:t>
      </w:r>
    </w:p>
    <w:p>
      <w:pPr>
        <w:spacing w:before="0" w:after="100" w:line="276" w:lineRule="auto"/>
        <w:jc w:val="both"/>
      </w:pPr>
      <w:r>
        <w:rPr>
          <w:rFonts w:ascii="Times New Roman" w:hAnsi="Times New Roman"/>
          <w:color w:val="222222"/>
          <w:sz w:val="20"/>
        </w:rPr>
        <w:t>Operational Threshold Selection: Because weighted loss training alters logit calibration, the operational classification decision threshold tau* is tuned strictly on the 15% validation split to maximize the macro F1-score: tau* = argmax_{tau in [0, 1]} F1(tau; D_val), yielding tau* = 0.62. This threshold is frozen prior to evaluation on the blind test split, completely separating threshold selection from test metrics.</w:t>
      </w:r>
    </w:p>
    <w:p>
      <w:pPr>
        <w:spacing w:before="0" w:after="100" w:line="276" w:lineRule="auto"/>
        <w:jc w:val="both"/>
      </w:pPr>
      <w:r>
        <w:rPr>
          <w:rFonts w:ascii="Times New Roman" w:hAnsi="Times New Roman"/>
          <w:color w:val="222222"/>
          <w:sz w:val="20"/>
        </w:rPr>
        <w:t>Optimization Schedule: Training proceeds for 15 epochs using AdamW (beta_1 = 0.9, beta_2 = 0.999, weight_decay = 1e-4) with batch size B = 64. The learning rate decays from eta_max = 1e-3 to eta_min = 1e-5 via a Cosine Annealing schedule:</w:t>
      </w:r>
    </w:p>
    <w:p>
      <w:pPr>
        <w:tabs>
          <w:tab w:pos="9360" w:val="right"/>
        </w:tabs>
        <w:spacing w:before="80" w:after="100" w:line="276" w:lineRule="auto"/>
        <w:ind w:left="576"/>
      </w:pPr>
      <m:oMath>
        <m:sSub>
          <m:e>
            <m:r>
              <m:t>η</m:t>
            </m:r>
          </m:e>
          <m:sub>
            <m:r>
              <m:t>t</m:t>
            </m:r>
          </m:sub>
        </m:sSub>
        <m:r>
          <m:t> = </m:t>
        </m:r>
        <m:sSub>
          <m:e>
            <m:r>
              <m:t>η</m:t>
            </m:r>
          </m:e>
          <m:sub>
            <m:r>
              <m:t>min</m:t>
            </m:r>
          </m:sub>
        </m:sSub>
        <m:r>
          <m:t> + </m:t>
        </m:r>
        <m:f>
          <m:num>
            <m:r>
              <m:t>1</m:t>
            </m:r>
          </m:num>
          <m:den>
            <m:r>
              <m:t>2</m:t>
            </m:r>
          </m:den>
        </m:f>
        <m:d>
          <m:dPr>
            <m:begChr m:val="("/>
            <m:endChr m:val=")"/>
          </m:dPr>
          <m:e>
            <m:sSub>
              <m:e>
                <m:r>
                  <m:t>η</m:t>
                </m:r>
              </m:e>
              <m:sub>
                <m:r>
                  <m:t>max</m:t>
                </m:r>
              </m:sub>
            </m:sSub>
            <m:r>
              <m:t> - </m:t>
            </m:r>
            <m:sSub>
              <m:e>
                <m:r>
                  <m:t>η</m:t>
                </m:r>
              </m:e>
              <m:sub>
                <m:r>
                  <m:t>min</m:t>
                </m:r>
              </m:sub>
            </m:sSub>
          </m:e>
        </m:d>
        <m:d>
          <m:dPr>
            <m:begChr m:val="("/>
            <m:endChr m:val=")"/>
          </m:dPr>
          <m:e>
            <m:r>
              <m:t>1 + cos</m:t>
            </m:r>
            <m:d>
              <m:dPr>
                <m:begChr m:val="("/>
                <m:endChr m:val=")"/>
              </m:dPr>
              <m:e>
                <m:f>
                  <m:num>
                    <m:r>
                      <m:t>t</m:t>
                    </m:r>
                  </m:num>
                  <m:den>
                    <m:sSub>
                      <m:e>
                        <m:r>
                          <m:t>T</m:t>
                        </m:r>
                      </m:e>
                      <m:sub>
                        <m:r>
                          <m:t>max</m:t>
                        </m:r>
                      </m:sub>
                    </m:sSub>
                  </m:den>
                </m:f>
                <m:r>
                  <m:t> · π</m:t>
                </m:r>
              </m:e>
            </m:d>
          </m:e>
        </m:d>
      </m:oMath>
      <w:r>
        <w:rPr>
          <w:rFonts w:ascii="Times New Roman" w:hAnsi="Times New Roman"/>
          <w:b/>
          <w:color w:val="4A5568"/>
          <w:sz w:val="20"/>
        </w:rPr>
        <w:tab/>
        <w:t>(6)</w:t>
      </w:r>
    </w:p>
    <w:p>
      <w:pPr>
        <w:spacing w:before="0" w:after="100" w:line="276" w:lineRule="auto"/>
        <w:jc w:val="both"/>
      </w:pPr>
      <w:r>
        <w:rPr>
          <w:rFonts w:ascii="Times New Roman" w:hAnsi="Times New Roman"/>
          <w:color w:val="222222"/>
          <w:sz w:val="20"/>
        </w:rPr>
        <w:t>Validation loss and balanced accuracy are evaluated after each epoch; the optimal baseline checkpoint is preserved at Epoch 12.</w:t>
      </w:r>
    </w:p>
    <w:p>
      <w:pPr>
        <w:keepNext/>
        <w:spacing w:before="200" w:after="60"/>
      </w:pPr>
      <w:r>
        <w:rPr>
          <w:rFonts w:ascii="Times New Roman" w:hAnsi="Times New Roman"/>
          <w:b/>
          <w:color w:val="134074"/>
          <w:sz w:val="22"/>
        </w:rPr>
        <w:t>1.4 Dual Quantization Paradigms (PTQ &amp; QAT) &amp; Hardware Compilation</w:t>
      </w:r>
    </w:p>
    <w:p>
      <w:pPr>
        <w:spacing w:before="0" w:after="100" w:line="276" w:lineRule="auto"/>
        <w:jc w:val="both"/>
      </w:pPr>
      <w:r>
        <w:rPr>
          <w:rFonts w:ascii="Times New Roman" w:hAnsi="Times New Roman"/>
          <w:color w:val="222222"/>
          <w:sz w:val="20"/>
        </w:rPr>
        <w:t>To examine how model compression influences internal decision logic, the FP32 baseline network is subjected to two distinct quantization regimes: static Post-Training Quantization (PTQ) and Quantization-Aware Training (QAT).</w:t>
      </w:r>
    </w:p>
    <w:p>
      <w:pPr>
        <w:spacing w:before="0" w:after="100" w:line="276" w:lineRule="auto"/>
        <w:jc w:val="both"/>
      </w:pPr>
      <w:r>
        <w:rPr>
          <w:rFonts w:ascii="Times New Roman" w:hAnsi="Times New Roman"/>
          <w:color w:val="222222"/>
          <w:sz w:val="20"/>
        </w:rPr>
        <w:t>1. Static Post-Training Quantization (PTQ): Evaluates true fixed-point integer execution. In PyTorch's QNNPACK (ARM edge) and FBGEMM (x86) backends, weights are mapped to signed symmetric 8-bit integers q_w in [-128, 127] with zero-point Z_w ≡ 0, while activations are mapped to non-negative affine quantized 8-bit integers q_a in [0, 255] with dynamic zero-point Z_a &gt;= 0:</w:t>
      </w:r>
    </w:p>
    <w:p>
      <w:pPr>
        <w:tabs>
          <w:tab w:pos="9360" w:val="right"/>
        </w:tabs>
        <w:spacing w:before="80" w:after="100" w:line="276" w:lineRule="auto"/>
        <w:ind w:left="576"/>
      </w:pPr>
      <m:oMath>
        <m:sSub>
          <m:e>
            <m:r>
              <m:t>q</m:t>
            </m:r>
          </m:e>
          <m:sub>
            <m:r>
              <m:t>w</m:t>
            </m:r>
          </m:sub>
        </m:sSub>
        <m:r>
          <m:t> = clamp</m:t>
        </m:r>
        <m:d>
          <m:dPr>
            <m:begChr m:val="("/>
            <m:endChr m:val=")"/>
          </m:dPr>
          <m:e>
            <m:r>
              <m:t>round</m:t>
            </m:r>
            <m:d>
              <m:dPr>
                <m:begChr m:val="("/>
                <m:endChr m:val=")"/>
              </m:dPr>
              <m:e>
                <m:f>
                  <m:num>
                    <m:r>
                      <m:t>w</m:t>
                    </m:r>
                  </m:num>
                  <m:den>
                    <m:sSub>
                      <m:e>
                        <m:r>
                          <m:t>S</m:t>
                        </m:r>
                      </m:e>
                      <m:sub>
                        <m:r>
                          <m:t>w</m:t>
                        </m:r>
                      </m:sub>
                    </m:sSub>
                  </m:den>
                </m:f>
              </m:e>
            </m:d>
            <m:r>
              <m:t>,  -128,  127</m:t>
            </m:r>
          </m:e>
        </m:d>
        <m:r>
          <m:t>;    </m:t>
        </m:r>
        <m:sSub>
          <m:e>
            <m:r>
              <m:t>q</m:t>
            </m:r>
          </m:e>
          <m:sub>
            <m:r>
              <m:t>a</m:t>
            </m:r>
          </m:sub>
        </m:sSub>
        <m:r>
          <m:t> = clamp</m:t>
        </m:r>
        <m:d>
          <m:dPr>
            <m:begChr m:val="("/>
            <m:endChr m:val=")"/>
          </m:dPr>
          <m:e>
            <m:r>
              <m:t>round</m:t>
            </m:r>
            <m:d>
              <m:dPr>
                <m:begChr m:val="("/>
                <m:endChr m:val=")"/>
              </m:dPr>
              <m:e>
                <m:f>
                  <m:num>
                    <m:r>
                      <m:t>a</m:t>
                    </m:r>
                  </m:num>
                  <m:den>
                    <m:sSub>
                      <m:e>
                        <m:r>
                          <m:t>S</m:t>
                        </m:r>
                      </m:e>
                      <m:sub>
                        <m:r>
                          <m:t>a</m:t>
                        </m:r>
                      </m:sub>
                    </m:sSub>
                  </m:den>
                </m:f>
              </m:e>
            </m:d>
            <m:r>
              <m:t> + </m:t>
            </m:r>
            <m:sSub>
              <m:e>
                <m:r>
                  <m:t>Z</m:t>
                </m:r>
              </m:e>
              <m:sub>
                <m:r>
                  <m:t>a</m:t>
                </m:r>
              </m:sub>
            </m:sSub>
            <m:r>
              <m:t>,  0,  255</m:t>
            </m:r>
          </m:e>
        </m:d>
      </m:oMath>
      <w:r>
        <w:rPr>
          <w:rFonts w:ascii="Times New Roman" w:hAnsi="Times New Roman"/>
          <w:b/>
          <w:color w:val="4A5568"/>
          <w:sz w:val="20"/>
        </w:rPr>
        <w:tab/>
        <w:t>(7)</w:t>
      </w:r>
    </w:p>
    <w:p>
      <w:pPr>
        <w:spacing w:before="0" w:after="100" w:line="276" w:lineRule="auto"/>
        <w:jc w:val="both"/>
      </w:pPr>
      <w:r>
        <w:rPr>
          <w:rFonts w:ascii="Times New Roman" w:hAnsi="Times New Roman"/>
          <w:color w:val="222222"/>
          <w:sz w:val="20"/>
        </w:rPr>
        <w:t>Balanced Calibration Protocol: Calibration-set composition can affect activation-range estimates. A balanced subset of 746 validation flows (373 VPN and 373 Non-VPN) is used as a deliberate experimental condition, with scale factors estimated using PyTorch's HistogramObserver and the configured KL-divergence criterion. Where feasible, repeat calibration with a naturally distributed validation subset as a sensitivity analysis. The balanced subset is not assumed a priori to be more representative of deployment traffic.</w:t>
      </w:r>
    </w:p>
    <w:p>
      <w:pPr>
        <w:spacing w:before="0" w:after="100" w:line="276" w:lineRule="auto"/>
        <w:jc w:val="both"/>
      </w:pPr>
      <w:r>
        <w:rPr>
          <w:rFonts w:ascii="Times New Roman" w:hAnsi="Times New Roman"/>
          <w:color w:val="222222"/>
          <w:sz w:val="20"/>
        </w:rPr>
        <w:t>2. Quantization-Aware Training (QAT): In QAT, numerical truncation is modeled during forward propagation via FakeQuantize modules:</w:t>
      </w:r>
    </w:p>
    <w:p>
      <w:pPr>
        <w:tabs>
          <w:tab w:pos="9360" w:val="right"/>
        </w:tabs>
        <w:spacing w:before="80" w:after="100" w:line="276" w:lineRule="auto"/>
        <w:ind w:left="576"/>
      </w:pPr>
      <m:oMath>
        <m:sSub>
          <m:e>
            <m:r>
              <m:t>q</m:t>
            </m:r>
          </m:e>
          <m:sub>
            <m:r>
              <m:t>fake</m:t>
            </m:r>
          </m:sub>
        </m:sSub>
        <m:d>
          <m:dPr>
            <m:begChr m:val="("/>
            <m:endChr m:val=")"/>
          </m:dPr>
          <m:e>
            <m:r>
              <m:t>x</m:t>
            </m:r>
          </m:e>
        </m:d>
        <m:r>
          <m:t> = S · </m:t>
        </m:r>
        <m:d>
          <m:dPr>
            <m:begChr m:val="["/>
            <m:endChr m:val="]"/>
          </m:dPr>
          <m:e>
            <m:r>
              <m:t>clamp</m:t>
            </m:r>
            <m:d>
              <m:dPr>
                <m:begChr m:val="("/>
                <m:endChr m:val=")"/>
              </m:dPr>
              <m:e>
                <m:r>
                  <m:t>round</m:t>
                </m:r>
                <m:d>
                  <m:dPr>
                    <m:begChr m:val="("/>
                    <m:endChr m:val=")"/>
                  </m:dPr>
                  <m:e>
                    <m:f>
                      <m:num>
                        <m:r>
                          <m:t>x</m:t>
                        </m:r>
                      </m:num>
                      <m:den>
                        <m:r>
                          <m:t>S</m:t>
                        </m:r>
                      </m:den>
                    </m:f>
                  </m:e>
                </m:d>
                <m:r>
                  <m:t> + Z,  </m:t>
                </m:r>
                <m:sSub>
                  <m:e>
                    <m:r>
                      <m:t>q</m:t>
                    </m:r>
                  </m:e>
                  <m:sub>
                    <m:r>
                      <m:t>min</m:t>
                    </m:r>
                  </m:sub>
                </m:sSub>
                <m:r>
                  <m:t>,  </m:t>
                </m:r>
                <m:sSub>
                  <m:e>
                    <m:r>
                      <m:t>q</m:t>
                    </m:r>
                  </m:e>
                  <m:sub>
                    <m:r>
                      <m:t>max</m:t>
                    </m:r>
                  </m:sub>
                </m:sSub>
              </m:e>
            </m:d>
            <m:r>
              <m:t> - Z</m:t>
            </m:r>
          </m:e>
        </m:d>
      </m:oMath>
      <w:r>
        <w:rPr>
          <w:rFonts w:ascii="Times New Roman" w:hAnsi="Times New Roman"/>
          <w:b/>
          <w:color w:val="4A5568"/>
          <w:sz w:val="20"/>
        </w:rPr>
        <w:tab/>
        <w:t>(8)</w:t>
      </w:r>
    </w:p>
    <w:p>
      <w:pPr>
        <w:spacing w:before="0" w:after="100" w:line="276" w:lineRule="auto"/>
        <w:jc w:val="both"/>
      </w:pPr>
      <w:r>
        <w:rPr>
          <w:rFonts w:ascii="Times New Roman" w:hAnsi="Times New Roman"/>
          <w:color w:val="222222"/>
          <w:sz w:val="20"/>
        </w:rPr>
        <w:t>Because the rounding operator has zero derivative almost everywhere, backpropagation is enabled using the Straight-Through Estimator (STE):</w:t>
      </w:r>
    </w:p>
    <w:p>
      <w:pPr>
        <w:tabs>
          <w:tab w:pos="9360" w:val="right"/>
        </w:tabs>
        <w:spacing w:before="80" w:after="100" w:line="276" w:lineRule="auto"/>
        <w:ind w:left="576"/>
      </w:pPr>
      <m:oMath>
        <m:f>
          <m:num>
            <m:r>
              <m:t>∂ </m:t>
            </m:r>
            <m:sSub>
              <m:e>
                <m:r>
                  <m:t>q</m:t>
                </m:r>
              </m:e>
              <m:sub>
                <m:r>
                  <m:t>fake</m:t>
                </m:r>
              </m:sub>
            </m:sSub>
            <m:d>
              <m:dPr>
                <m:begChr m:val="("/>
                <m:endChr m:val=")"/>
              </m:dPr>
              <m:e>
                <m:r>
                  <m:t>x</m:t>
                </m:r>
              </m:e>
            </m:d>
          </m:num>
          <m:den>
            <m:r>
              <m:t>∂ x</m:t>
            </m:r>
          </m:den>
        </m:f>
        <m:r>
          <m:t> = </m:t>
        </m:r>
        <m:d>
          <m:dPr>
            <m:begChr m:val="{"/>
            <m:endChr m:val=""/>
          </m:dPr>
          <m:e>
            <m:eqArr>
              <m:e>
                <m:r>
                  <m:t>1,    if  </m:t>
                </m:r>
                <m:sSub>
                  <m:e>
                    <m:r>
                      <m:t>q</m:t>
                    </m:r>
                  </m:e>
                  <m:sub>
                    <m:r>
                      <m:t>min</m:t>
                    </m:r>
                  </m:sub>
                </m:sSub>
                <m:r>
                  <m:t> ≤ </m:t>
                </m:r>
                <m:f>
                  <m:num>
                    <m:r>
                      <m:t>x</m:t>
                    </m:r>
                  </m:num>
                  <m:den>
                    <m:r>
                      <m:t>S</m:t>
                    </m:r>
                  </m:den>
                </m:f>
                <m:r>
                  <m:t> + Z ≤ </m:t>
                </m:r>
                <m:sSub>
                  <m:e>
                    <m:r>
                      <m:t>q</m:t>
                    </m:r>
                  </m:e>
                  <m:sub>
                    <m:r>
                      <m:t>max</m:t>
                    </m:r>
                  </m:sub>
                </m:sSub>
              </m:e>
              <m:e>
                <m:r>
                  <m:t>0,    otherwise</m:t>
                </m:r>
              </m:e>
            </m:eqArr>
          </m:e>
        </m:d>
      </m:oMath>
      <w:r>
        <w:rPr>
          <w:rFonts w:ascii="Times New Roman" w:hAnsi="Times New Roman"/>
          <w:b/>
          <w:color w:val="4A5568"/>
          <w:sz w:val="20"/>
        </w:rPr>
        <w:tab/>
        <w:t>(9)</w:t>
      </w:r>
    </w:p>
    <w:p>
      <w:pPr>
        <w:spacing w:before="0" w:after="100" w:line="276" w:lineRule="auto"/>
        <w:jc w:val="both"/>
      </w:pPr>
      <w:r>
        <w:rPr>
          <w:rFonts w:ascii="Times New Roman" w:hAnsi="Times New Roman"/>
          <w:color w:val="222222"/>
          <w:sz w:val="20"/>
        </w:rPr>
        <w:t>Scope of QAT Optimization: The network is initialized from pre-trained FP32 weights and fine-tuned for 5 epochs with AdamW at eta = 1e-4 using the weighted loss function (w = 21.4166). Following convergence, weights and activation scales are frozen and converted into true fixed-point integer execution modules. This evaluates whether standard task-loss retraining mitigates attribution drift, rather than asserting an intractable universal failure of all conceivable QAT hyperparameter variations.</w:t>
      </w:r>
    </w:p>
    <w:p>
      <w:pPr>
        <w:spacing w:before="0" w:after="100" w:line="276" w:lineRule="auto"/>
        <w:jc w:val="both"/>
      </w:pPr>
      <w:r>
        <w:rPr>
          <w:rFonts w:ascii="Times New Roman" w:hAnsi="Times New Roman"/>
          <w:color w:val="222222"/>
          <w:sz w:val="20"/>
        </w:rPr>
        <w:t>Hardware Compilation: All model variants (FP32, INT8 PTQ, and INT8 QAT) are traced with TorchScript (torch.jit.trace) where supported by the selected backend. Benchmark reports must specify CPU model, operating system, Python/PyTorch versions, quantization backend, thread count, input shape, and batch size. After 50 warmup iterations, collect 500 timed repetitions at B in {1, 32}; report latency distributions (including median and p95) and measure throughput separately. Throughput must not be inferred solely as the reciprocal of a single latency statistic.</w:t>
      </w:r>
    </w:p>
    <w:p>
      <w:pPr>
        <w:keepNext/>
        <w:spacing w:before="200" w:after="60"/>
      </w:pPr>
      <w:r>
        <w:rPr>
          <w:rFonts w:ascii="Times New Roman" w:hAnsi="Times New Roman"/>
          <w:b/>
          <w:color w:val="134074"/>
          <w:sz w:val="22"/>
        </w:rPr>
        <w:t>1.5 Explainability Framework &amp; Attribution Drift Metrics</w:t>
      </w:r>
    </w:p>
    <w:p>
      <w:pPr>
        <w:spacing w:before="0" w:after="100" w:line="276" w:lineRule="auto"/>
        <w:jc w:val="both"/>
      </w:pPr>
      <w:r>
        <w:rPr>
          <w:rFonts w:ascii="Times New Roman" w:hAnsi="Times New Roman"/>
          <w:color w:val="222222"/>
          <w:sz w:val="20"/>
        </w:rPr>
        <w:t>Feature attributions are extracted across the balanced test benchmark (N = 746 flows: 373 VPN vs. 373 Non-VPN) using two complementary explainability paradigms:</w:t>
      </w:r>
    </w:p>
    <w:p>
      <w:pPr>
        <w:spacing w:before="0" w:after="100" w:line="276" w:lineRule="auto"/>
        <w:jc w:val="both"/>
      </w:pPr>
      <w:r>
        <w:rPr>
          <w:rFonts w:ascii="Times New Roman" w:hAnsi="Times New Roman"/>
          <w:color w:val="222222"/>
          <w:sz w:val="20"/>
        </w:rPr>
        <w:t>1. Perturbation-Based KernelSHAP: KernelSHAP is applied as a black-box explainer to the deployed INT8 model and, for a controlled comparison, to the FP32 model using the same feature representation, output quantity, masking convention, and coalition-sampling settings. It estimates local additive attributions phi in R^{128} using randomly masked input coalitions. The all-zero reference baseline is retained as the primary baseline, but its realism is assessed through a sensitivity analysis with an alternative background sample. Record the SHAP version, number of coalition samples, output (logit or probability), masker, and random seed. Features are ranked by absolute attribution magnitude.</w:t>
      </w:r>
    </w:p>
    <w:p>
      <w:pPr>
        <w:spacing w:before="0" w:after="100" w:line="276" w:lineRule="auto"/>
        <w:jc w:val="both"/>
      </w:pPr>
      <w:r>
        <w:rPr>
          <w:rFonts w:ascii="Times New Roman" w:hAnsi="Times New Roman"/>
          <w:color w:val="222222"/>
          <w:sz w:val="20"/>
        </w:rPr>
        <w:t>2. Path-Integral Integrated Gradients: Evaluates a continuous FakeQuantization STE surrogate model across m = 30 path-integral interpolation steps:</w:t>
      </w:r>
    </w:p>
    <w:p>
      <w:pPr>
        <w:tabs>
          <w:tab w:pos="9360" w:val="right"/>
        </w:tabs>
        <w:spacing w:before="80" w:after="100" w:line="276" w:lineRule="auto"/>
        <w:ind w:left="576"/>
      </w:pPr>
      <m:oMath>
        <m:sSubSup>
          <m:e>
            <m:r>
              <m:t>ϕ</m:t>
            </m:r>
          </m:e>
          <m:sub>
            <m:r>
              <m:t>i</m:t>
            </m:r>
          </m:sub>
          <m:sup>
            <m:r>
              <m:t>IG</m:t>
            </m:r>
          </m:sup>
        </m:sSubSup>
        <m:d>
          <m:dPr>
            <m:begChr m:val="("/>
            <m:endChr m:val=")"/>
          </m:dPr>
          <m:e>
            <m:r>
              <m:t>x</m:t>
            </m:r>
          </m:e>
        </m:d>
        <m:r>
          <m:t> = </m:t>
        </m:r>
        <m:d>
          <m:dPr>
            <m:begChr m:val="("/>
            <m:endChr m:val=")"/>
          </m:dPr>
          <m:e>
            <m:sSub>
              <m:e>
                <m:r>
                  <m:t>x</m:t>
                </m:r>
              </m:e>
              <m:sub>
                <m:r>
                  <m:t>i</m:t>
                </m:r>
              </m:sub>
            </m:sSub>
            <m:r>
              <m:t> - </m:t>
            </m:r>
            <m:sSubSup>
              <m:e>
                <m:r>
                  <m:t>x</m:t>
                </m:r>
              </m:e>
              <m:sub>
                <m:r>
                  <m:t>i</m:t>
                </m:r>
              </m:sub>
              <m:sup>
                <m:r>
                  <m:t>′</m:t>
                </m:r>
              </m:sup>
            </m:sSubSup>
          </m:e>
        </m:d>
        <m:r>
          <m:t> · </m:t>
        </m:r>
        <m:f>
          <m:num>
            <m:r>
              <m:t>1</m:t>
            </m:r>
          </m:num>
          <m:den>
            <m:r>
              <m:t>m</m:t>
            </m:r>
          </m:den>
        </m:f>
        <m:nary>
          <m:naryPr>
            <m:chr m:val="∑"/>
          </m:naryPr>
          <m:sub>
            <m:r>
              <m:t>k=1</m:t>
            </m:r>
          </m:sub>
          <m:sup>
            <m:r>
              <m:t>m</m:t>
            </m:r>
          </m:sup>
          <m:e>
            <m:f>
              <m:num>
                <m:r>
                  <m:t>∂ F</m:t>
                </m:r>
                <m:d>
                  <m:dPr>
                    <m:begChr m:val="("/>
                    <m:endChr m:val=")"/>
                  </m:dPr>
                  <m:e>
                    <m:r>
                      <m:t>x′ + </m:t>
                    </m:r>
                    <m:f>
                      <m:num>
                        <m:r>
                          <m:t>k</m:t>
                        </m:r>
                      </m:num>
                      <m:den>
                        <m:r>
                          <m:t>m</m:t>
                        </m:r>
                      </m:den>
                    </m:f>
                    <m:r>
                      <m:t> · (x - x′)</m:t>
                    </m:r>
                  </m:e>
                </m:d>
              </m:num>
              <m:den>
                <m:r>
                  <m:t>∂ </m:t>
                </m:r>
                <m:sSub>
                  <m:e>
                    <m:r>
                      <m:t>x</m:t>
                    </m:r>
                  </m:e>
                  <m:sub>
                    <m:r>
                      <m:t>i</m:t>
                    </m:r>
                  </m:sub>
                </m:sSub>
              </m:den>
            </m:f>
          </m:e>
        </m:nary>
      </m:oMath>
      <w:r>
        <w:rPr>
          <w:rFonts w:ascii="Times New Roman" w:hAnsi="Times New Roman"/>
          <w:b/>
          <w:color w:val="4A5568"/>
          <w:sz w:val="20"/>
        </w:rPr>
        <w:tab/>
        <w:t>(10)</w:t>
      </w:r>
    </w:p>
    <w:p>
      <w:pPr>
        <w:spacing w:before="0" w:after="100" w:line="276" w:lineRule="auto"/>
        <w:jc w:val="both"/>
      </w:pPr>
      <w:r>
        <w:rPr>
          <w:rFonts w:ascii="Times New Roman" w:hAnsi="Times New Roman"/>
          <w:color w:val="222222"/>
          <w:sz w:val="20"/>
        </w:rPr>
        <w:t>Explainer Comparison and Interpretation: KernelSHAP can query the deployed quantized model through forward passes, whereas Integrated Gradients requires a differentiable function and is therefore evaluated on a continuous FakeQuantization/STE surrogate. The latter explains the surrogate function, not necessarily the exact discrete deployed function. Consequently, differences between KernelSHAP and Integrated Gradients cannot be attributed to explainer choice alone because the model representation also differs. The primary quantization-drift analysis compares FP32 and quantized models using the same explainer wherever applicable; cross-explainer comparisons are reported as secondary analyses.</w:t>
      </w:r>
    </w:p>
    <w:p>
      <w:pPr>
        <w:spacing w:before="0" w:after="100" w:line="276" w:lineRule="auto"/>
        <w:jc w:val="both"/>
      </w:pPr>
      <w:r>
        <w:rPr>
          <w:rFonts w:ascii="Times New Roman" w:hAnsi="Times New Roman"/>
          <w:color w:val="222222"/>
          <w:sz w:val="20"/>
        </w:rPr>
        <w:t>Attribution vectors from the baseline phi_FP32 and quantized variant phi_INT8 are evaluated across four mathematical formulations, summarized in Table II.</w:t>
      </w:r>
    </w:p>
    <w:p>
      <w:pPr>
        <w:keepNext/>
        <w:spacing w:before="160" w:after="40"/>
      </w:pPr>
      <w:r>
        <w:rPr>
          <w:rFonts w:ascii="Times New Roman" w:hAnsi="Times New Roman"/>
          <w:b/>
          <w:color w:val="0B2545"/>
          <w:sz w:val="19"/>
        </w:rPr>
        <w:t>TABLE II: MATHEMATICAL ATTRIBUTION DRIFT METRICS AND FORMULATIONS</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2340"/>
        <w:gridCol w:w="2340"/>
        <w:gridCol w:w="2340"/>
        <w:gridCol w:w="2340"/>
      </w:tblGrid>
      <w:tr>
        <w:tc>
          <w:tcPr>
            <w:tcW w:type="dxa" w:w="2592"/>
            <w:tcMar>
              <w:top w:w="90" w:type="dxa"/>
              <w:bottom w:w="90" w:type="dxa"/>
              <w:left w:w="110" w:type="dxa"/>
              <w:right w:w="110" w:type="dxa"/>
            </w:tcMar>
            <w:shd w:fill="F0F4F8"/>
          </w:tcPr>
          <w:p>
            <w:pPr>
              <w:spacing w:before="0" w:after="0"/>
              <w:jc w:val="center"/>
            </w:pPr>
            <w:r>
              <w:rPr>
                <w:rFonts w:ascii="Times New Roman" w:hAnsi="Times New Roman"/>
                <w:b/>
                <w:color w:val="0B2545"/>
                <w:sz w:val="18"/>
              </w:rPr>
              <w:t>Metric Name</w:t>
            </w:r>
          </w:p>
        </w:tc>
        <w:tc>
          <w:tcPr>
            <w:tcW w:type="dxa" w:w="3888"/>
            <w:tcMar>
              <w:top w:w="90" w:type="dxa"/>
              <w:bottom w:w="90" w:type="dxa"/>
              <w:left w:w="110" w:type="dxa"/>
              <w:right w:w="110" w:type="dxa"/>
            </w:tcMar>
            <w:shd w:fill="F0F4F8"/>
          </w:tcPr>
          <w:p>
            <w:pPr>
              <w:spacing w:before="0" w:after="0"/>
              <w:jc w:val="center"/>
            </w:pPr>
            <w:r>
              <w:rPr>
                <w:rFonts w:ascii="Times New Roman" w:hAnsi="Times New Roman"/>
                <w:b/>
                <w:color w:val="0B2545"/>
                <w:sz w:val="18"/>
              </w:rPr>
              <w:t>Mathematical Formulation</w:t>
            </w:r>
          </w:p>
        </w:tc>
        <w:tc>
          <w:tcPr>
            <w:tcW w:type="dxa" w:w="1152"/>
            <w:tcMar>
              <w:top w:w="90" w:type="dxa"/>
              <w:bottom w:w="90" w:type="dxa"/>
              <w:left w:w="110" w:type="dxa"/>
              <w:right w:w="110" w:type="dxa"/>
            </w:tcMar>
            <w:shd w:fill="F0F4F8"/>
          </w:tcPr>
          <w:p>
            <w:pPr>
              <w:spacing w:before="0" w:after="0"/>
              <w:jc w:val="center"/>
            </w:pPr>
            <w:r>
              <w:rPr>
                <w:rFonts w:ascii="Times New Roman" w:hAnsi="Times New Roman"/>
                <w:b/>
                <w:color w:val="0B2545"/>
                <w:sz w:val="18"/>
              </w:rPr>
              <w:t>Range</w:t>
            </w:r>
          </w:p>
        </w:tc>
        <w:tc>
          <w:tcPr>
            <w:tcW w:type="dxa" w:w="1728"/>
            <w:tcMar>
              <w:top w:w="90" w:type="dxa"/>
              <w:bottom w:w="90" w:type="dxa"/>
              <w:left w:w="110" w:type="dxa"/>
              <w:right w:w="110" w:type="dxa"/>
            </w:tcMar>
            <w:shd w:fill="F0F4F8"/>
          </w:tcPr>
          <w:p>
            <w:pPr>
              <w:spacing w:before="0" w:after="0"/>
              <w:jc w:val="center"/>
            </w:pPr>
            <w:r>
              <w:rPr>
                <w:rFonts w:ascii="Times New Roman" w:hAnsi="Times New Roman"/>
                <w:b/>
                <w:color w:val="0B2545"/>
                <w:sz w:val="18"/>
              </w:rPr>
              <w:t>Analytical Focus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Feature IoU</w:t>
            </w:r>
          </w:p>
        </w:tc>
        <w:tc>
          <w:tcPr>
            <w:tcW w:type="dxa" w:w="3888"/>
            <w:tcMar>
              <w:top w:w="70" w:type="dxa"/>
              <w:bottom w:w="70" w:type="dxa"/>
              <w:left w:w="110" w:type="dxa"/>
              <w:right w:w="110" w:type="dxa"/>
            </w:tcMar>
          </w:tcPr>
          <w:p>
            <w:pPr>
              <w:jc w:val="center"/>
            </w:pPr>
            <w:r>
              <w:rPr>
                <w:rFonts w:ascii="Times New Roman" w:hAnsi="Times New Roman"/>
                <w:sz w:val="16"/>
              </w:rPr>
              <w:t>IoU_feat = |A_FP32 ∩ A_INT8| / |A_FP32 ∪ A_INT8|</w:t>
              <w:br/>
              <w:t>A_m = TopK(|φ_m|)</w:t>
            </w:r>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Absolute salient feature overlap</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Packet IoU</w:t>
            </w:r>
          </w:p>
        </w:tc>
        <w:tc>
          <w:tcPr>
            <w:tcW w:type="dxa" w:w="3888"/>
            <w:tcMar>
              <w:top w:w="70" w:type="dxa"/>
              <w:bottom w:w="70" w:type="dxa"/>
              <w:left w:w="110" w:type="dxa"/>
              <w:right w:w="110" w:type="dxa"/>
            </w:tcMar>
          </w:tcPr>
          <w:p>
            <w:pPr>
              <w:jc w:val="center"/>
            </w:pPr>
            <w:r>
              <w:rPr>
                <w:rFonts w:ascii="Times New Roman" w:hAnsi="Times New Roman"/>
                <w:sz w:val="16"/>
              </w:rPr>
              <w:t>IoU_pkt = |P_FP32 ∩ P_INT8| / |P_FP32 ∪ P_INT8|</w:t>
              <w:br/>
              <w:t>P_m = TopK(ψ_m); ψ_t = |φ_0,t| + |φ_1,t|</w:t>
            </w:r>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Channel-collapsed packet shifts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Tie-Corrected rho</w:t>
            </w:r>
          </w:p>
        </w:tc>
        <w:tc>
          <w:tcPr>
            <w:tcW w:type="dxa" w:w="3888"/>
            <w:tcMar>
              <w:top w:w="70" w:type="dxa"/>
              <w:bottom w:w="70" w:type="dxa"/>
              <w:left w:w="110" w:type="dxa"/>
              <w:right w:w="110" w:type="dxa"/>
            </w:tcMar>
          </w:tcPr>
          <w:p>
            <w:pPr>
              <w:jc w:val="center"/>
            </w:pPr>
            <w:r>
              <w:rPr>
                <w:rFonts w:ascii="Times New Roman" w:hAnsi="Times New Roman"/>
                <w:sz w:val="16"/>
              </w:rPr>
              <w:t>ρ = corr(rank_avg(|φ_FP32|), rank_avg(|φ_INT8|))</w:t>
            </w:r>
          </w:p>
        </w:tc>
        <w:tc>
          <w:tcPr>
            <w:tcW w:type="dxa" w:w="1152"/>
            <w:tcMar>
              <w:top w:w="70" w:type="dxa"/>
              <w:bottom w:w="70" w:type="dxa"/>
              <w:left w:w="110" w:type="dxa"/>
              <w:right w:w="110" w:type="dxa"/>
            </w:tcMar>
          </w:tcPr>
          <w:p>
            <w:pPr>
              <w:jc w:val="center"/>
            </w:pPr>
            <w:r>
              <w:rPr>
                <w:rFonts w:ascii="Times New Roman" w:hAnsi="Times New Roman"/>
                <w:color w:val="222222"/>
                <w:sz w:val="17"/>
              </w:rPr>
              <w:t>[-1, 1]</w:t>
            </w:r>
          </w:p>
        </w:tc>
        <w:tc>
          <w:tcPr>
            <w:tcW w:type="dxa" w:w="1728"/>
            <w:tcMar>
              <w:top w:w="70" w:type="dxa"/>
              <w:bottom w:w="70" w:type="dxa"/>
              <w:left w:w="110" w:type="dxa"/>
              <w:right w:w="110" w:type="dxa"/>
            </w:tcMar>
          </w:tcPr>
          <w:p>
            <w:pPr>
              <w:jc w:val="left"/>
            </w:pPr>
            <w:r>
              <w:rPr>
                <w:rFonts w:ascii="Times New Roman" w:hAnsi="Times New Roman"/>
                <w:color w:val="222222"/>
                <w:sz w:val="17"/>
              </w:rPr>
              <w:t>Global monotonic rank fidelity (SciPy)</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Normalized L2 Dist.</w:t>
            </w:r>
          </w:p>
        </w:tc>
        <w:tc>
          <w:tcPr>
            <w:tcW w:type="dxa" w:w="3888"/>
            <w:tcMar>
              <w:top w:w="70" w:type="dxa"/>
              <w:bottom w:w="70" w:type="dxa"/>
              <w:left w:w="110" w:type="dxa"/>
              <w:right w:w="110" w:type="dxa"/>
            </w:tcMar>
          </w:tcPr>
          <w:p>
            <w:pPr>
              <w:jc w:val="center"/>
            </w:pPr>
            <w:r>
              <w:rPr>
                <w:rFonts w:ascii="Times New Roman" w:hAnsi="Times New Roman"/>
                <w:sz w:val="16"/>
              </w:rPr>
              <w:t>D_L2 = ||u − v||₂ / √2</w:t>
              <w:br/>
              <w:t>u = φ_FP32 / ||φ_FP32||₂; v = φ_INT8 / ||φ_INT8||₂</w:t>
            </w:r>
          </w:p>
        </w:tc>
        <w:tc>
          <w:tcPr>
            <w:tcW w:type="dxa" w:w="1152"/>
            <w:tcMar>
              <w:top w:w="70" w:type="dxa"/>
              <w:bottom w:w="70" w:type="dxa"/>
              <w:left w:w="110" w:type="dxa"/>
              <w:right w:w="110" w:type="dxa"/>
            </w:tcMar>
          </w:tcPr>
          <w:p>
            <w:r>
              <w:rPr>
                <w:rFonts w:ascii="Times New Roman" w:hAnsi="Times New Roman"/>
                <w:sz w:val="16"/>
              </w:rPr>
              <w:t>[0, 1] for nonzero vectors</w:t>
            </w:r>
          </w:p>
        </w:tc>
        <w:tc>
          <w:tcPr>
            <w:tcW w:type="dxa" w:w="1728"/>
            <w:tcMar>
              <w:top w:w="70" w:type="dxa"/>
              <w:bottom w:w="70" w:type="dxa"/>
              <w:left w:w="110" w:type="dxa"/>
              <w:right w:w="110" w:type="dxa"/>
            </w:tcMar>
          </w:tcPr>
          <w:p>
            <w:r>
              <w:rPr>
                <w:rFonts w:ascii="Times New Roman" w:hAnsi="Times New Roman"/>
                <w:sz w:val="16"/>
              </w:rPr>
              <w:t>Normalized displacement; if either norm is zero, report separately and use the prespecified fallback.</w:t>
            </w:r>
          </w:p>
        </w:tc>
      </w:tr>
    </w:tbl>
    <w:p>
      <w:pPr>
        <w:spacing w:before="0" w:after="120"/>
      </w:pPr>
    </w:p>
    <w:p>
      <w:pPr>
        <w:spacing w:before="0" w:after="100" w:line="276" w:lineRule="auto"/>
        <w:jc w:val="both"/>
      </w:pPr>
      <w:r>
        <w:rPr>
          <w:rFonts w:ascii="Times New Roman" w:hAnsi="Times New Roman"/>
          <w:color w:val="222222"/>
          <w:sz w:val="20"/>
        </w:rPr>
        <w:t>Multi-Seed Variance Estimation &amp; Explainer Repeatability: KernelSHAP is evaluated across five pseudorandom seeds {42, 101, 777, 999, 2024} on a preliminary subset of 20 benchmark flows with N_samples = 150. Repeatability is summarized separately for each metric (e.g., attribution-rank correlation and Top-k IoU), using the same flows and reporting the distribution across repeats. The seed-pair correlations are dependent because each seed appears in multiple pairs; their standard deviation is therefore descriptive, not an independent-sample uncertainty estimate. A 20-flow analysis is preliminary and should be expanded or accompanied by flow-level bootstrap confidence intervals before making cohort-wide claims. Do not compare a standard deviation of rank correlation directly with an absolute change in IoU as if they were the same metric.</w:t>
      </w:r>
    </w:p>
    <w:p>
      <w:pPr>
        <w:keepNext/>
        <w:spacing w:before="200" w:after="60"/>
      </w:pPr>
      <w:r>
        <w:rPr>
          <w:rFonts w:ascii="Times New Roman" w:hAnsi="Times New Roman"/>
          <w:b/>
          <w:color w:val="134074"/>
          <w:sz w:val="22"/>
        </w:rPr>
        <w:t>1.6 Statistical Significance, Confounder Analysis &amp; Chance Baselines</w:t>
      </w:r>
    </w:p>
    <w:p>
      <w:pPr>
        <w:spacing w:before="0" w:after="100" w:line="276" w:lineRule="auto"/>
        <w:jc w:val="both"/>
      </w:pPr>
      <w:r>
        <w:rPr>
          <w:rFonts w:ascii="Times New Roman" w:hAnsi="Times New Roman"/>
          <w:color w:val="222222"/>
          <w:sz w:val="20"/>
        </w:rPr>
        <w:t>Non-Parametric Hypothesis Testing &amp; Paired Evaluations: Two-sided Mann–Whitney U tests may be used for VPN-versus-Non-VPN cohort comparisons when the independent-sample assumptions are defensible; capture-level dependence should be addressed through capture-cluster bootstrap/permutation procedures or a suitable clustered model. Define the U-statistic orientation before calculating rank-biserial correlation, since its sign depends on that convention. For within-flow comparisons of FP32 and quantized attributions, use paired tests and 10,000-iteration bootstrap resampling of flows (or capture clusters where appropriate), reporting 95% confidence intervals for per-flow attribution shifts.</w:t>
      </w:r>
    </w:p>
    <w:p>
      <w:pPr>
        <w:spacing w:before="0" w:after="100" w:line="276" w:lineRule="auto"/>
        <w:jc w:val="both"/>
      </w:pPr>
      <w:r>
        <w:rPr>
          <w:rFonts w:ascii="Times New Roman" w:hAnsi="Times New Roman"/>
          <w:color w:val="222222"/>
          <w:sz w:val="20"/>
        </w:rPr>
        <w:t>Econometric Confounder Regressions: To examine associations between flow duration, protocol encapsulation, and attribution agreement, univariate and multivariate Ordinary Least Squares (OLS) regressions are estimated across all 746 test flows:</w:t>
      </w:r>
    </w:p>
    <w:p>
      <w:pPr>
        <w:tabs>
          <w:tab w:pos="9360" w:val="right"/>
        </w:tabs>
        <w:spacing w:before="80" w:after="100" w:line="276" w:lineRule="auto"/>
        <w:ind w:left="576"/>
      </w:pPr>
      <m:oMath>
        <m:sSub>
          <m:e>
            <m:r>
              <m:t>IoU</m:t>
            </m:r>
          </m:e>
          <m:sub>
            <m:r>
              <m:t>i</m:t>
            </m:r>
          </m:sub>
        </m:sSub>
        <m:r>
          <m:t> = </m:t>
        </m:r>
        <m:sSub>
          <m:e>
            <m:r>
              <m:t>β</m:t>
            </m:r>
          </m:e>
          <m:sub>
            <m:r>
              <m:t>0</m:t>
            </m:r>
          </m:sub>
        </m:sSub>
        <m:r>
          <m:t> + </m:t>
        </m:r>
        <m:sSub>
          <m:e>
            <m:r>
              <m:t>β</m:t>
            </m:r>
          </m:e>
          <m:sub>
            <m:r>
              <m:t>1</m:t>
            </m:r>
          </m:sub>
        </m:sSub>
        <m:r>
          <m:t> · </m:t>
        </m:r>
        <m:sSub>
          <m:e>
            <m:r>
              <m:t>L</m:t>
            </m:r>
          </m:e>
          <m:sub>
            <m:r>
              <m:t>i</m:t>
            </m:r>
          </m:sub>
        </m:sSub>
        <m:r>
          <m:t> + </m:t>
        </m:r>
        <m:sSub>
          <m:e>
            <m:r>
              <m:t>ε</m:t>
            </m:r>
          </m:e>
          <m:sub>
            <m:r>
              <m:t>i</m:t>
            </m:r>
          </m:sub>
        </m:sSub>
      </m:oMath>
      <w:r>
        <w:rPr>
          <w:rFonts w:ascii="Times New Roman" w:hAnsi="Times New Roman"/>
          <w:b/>
          <w:color w:val="4A5568"/>
          <w:sz w:val="20"/>
        </w:rPr>
        <w:tab/>
        <w:t>(11)</w:t>
      </w:r>
    </w:p>
    <w:p>
      <w:pPr>
        <w:tabs>
          <w:tab w:pos="9360" w:val="right"/>
        </w:tabs>
        <w:spacing w:before="80" w:after="100" w:line="276" w:lineRule="auto"/>
        <w:ind w:left="576"/>
      </w:pPr>
      <m:oMath>
        <m:sSub>
          <m:e>
            <m:r>
              <m:t>IoU</m:t>
            </m:r>
          </m:e>
          <m:sub>
            <m:r>
              <m:t>i</m:t>
            </m:r>
          </m:sub>
        </m:sSub>
        <m:r>
          <m:t> = </m:t>
        </m:r>
        <m:sSub>
          <m:e>
            <m:r>
              <m:t>β</m:t>
            </m:r>
          </m:e>
          <m:sub>
            <m:r>
              <m:t>0</m:t>
            </m:r>
          </m:sub>
        </m:sSub>
        <m:r>
          <m:t> + </m:t>
        </m:r>
        <m:sSub>
          <m:e>
            <m:r>
              <m:t>β</m:t>
            </m:r>
          </m:e>
          <m:sub>
            <m:r>
              <m:t>L</m:t>
            </m:r>
          </m:sub>
        </m:sSub>
        <m:r>
          <m:t> · </m:t>
        </m:r>
        <m:sSub>
          <m:e>
            <m:r>
              <m:t>L</m:t>
            </m:r>
          </m:e>
          <m:sub>
            <m:r>
              <m:t>i</m:t>
            </m:r>
          </m:sub>
        </m:sSub>
        <m:r>
          <m:t> + </m:t>
        </m:r>
        <m:sSub>
          <m:e>
            <m:r>
              <m:t>β</m:t>
            </m:r>
          </m:e>
          <m:sub>
            <m:r>
              <m:t>VPN</m:t>
            </m:r>
          </m:sub>
        </m:sSub>
        <m:r>
          <m:t> · </m:t>
        </m:r>
        <m:sSub>
          <m:e>
            <m:r>
              <m:t>y</m:t>
            </m:r>
          </m:e>
          <m:sub>
            <m:r>
              <m:t>i</m:t>
            </m:r>
          </m:sub>
        </m:sSub>
        <m:r>
          <m:t> + </m:t>
        </m:r>
        <m:sSub>
          <m:e>
            <m:r>
              <m:t>β</m:t>
            </m:r>
          </m:e>
          <m:sub>
            <m:r>
              <m:t>LV</m:t>
            </m:r>
          </m:sub>
        </m:sSub>
        <m:r>
          <m:t> · </m:t>
        </m:r>
        <m:d>
          <m:dPr>
            <m:begChr m:val="("/>
            <m:endChr m:val=")"/>
          </m:dPr>
          <m:e>
            <m:sSub>
              <m:e>
                <m:r>
                  <m:t>L</m:t>
                </m:r>
              </m:e>
              <m:sub>
                <m:r>
                  <m:t>i</m:t>
                </m:r>
              </m:sub>
            </m:sSub>
            <m:r>
              <m:t> · </m:t>
            </m:r>
            <m:sSub>
              <m:e>
                <m:r>
                  <m:t>y</m:t>
                </m:r>
              </m:e>
              <m:sub>
                <m:r>
                  <m:t>i</m:t>
                </m:r>
              </m:sub>
            </m:sSub>
          </m:e>
        </m:d>
        <m:r>
          <m:t> + </m:t>
        </m:r>
        <m:sSub>
          <m:e>
            <m:r>
              <m:t>ε</m:t>
            </m:r>
          </m:e>
          <m:sub>
            <m:r>
              <m:t>i</m:t>
            </m:r>
          </m:sub>
        </m:sSub>
      </m:oMath>
      <w:r>
        <w:rPr>
          <w:rFonts w:ascii="Times New Roman" w:hAnsi="Times New Roman"/>
          <w:b/>
          <w:color w:val="4A5568"/>
          <w:sz w:val="20"/>
        </w:rPr>
        <w:tab/>
        <w:t>(12)</w:t>
      </w:r>
    </w:p>
    <w:p>
      <w:pPr>
        <w:spacing w:before="0" w:after="100" w:line="276" w:lineRule="auto"/>
        <w:jc w:val="both"/>
      </w:pPr>
      <w:r>
        <w:rPr>
          <w:rFonts w:ascii="Times New Roman" w:hAnsi="Times New Roman"/>
          <w:color w:val="222222"/>
          <w:sz w:val="20"/>
        </w:rPr>
        <w:t>where y_i in {0, 1} denotes VPN status and beta_LV captures the interaction between sequence length and VPN status. Interpret beta_VPN and beta_LV as conditional statistical associations, not causal effects. Use capture-cluster-robust standard errors and report confidence intervals, model diagnostics, and the exact sample definition. Because IoU is bounded in [0, 1] and its relationship with length may be nonlinear, treat OLS as a descriptive model or compare it with an appropriate bounded-outcome/nonlinear sensitivity analysis.</w:t>
      </w:r>
    </w:p>
    <w:p>
      <w:pPr>
        <w:spacing w:before="0" w:after="100" w:line="276" w:lineRule="auto"/>
        <w:jc w:val="both"/>
      </w:pPr>
      <w:r>
        <w:rPr>
          <w:rFonts w:ascii="Times New Roman" w:hAnsi="Times New Roman"/>
          <w:color w:val="222222"/>
          <w:sz w:val="20"/>
        </w:rPr>
        <w:t>Theoretical Hypergeometric Chance Baseline: To control for candidate pool expansion as flow length L increases, the theoretical random chance expectation for Top-k IoU is derived. Let two independent random agents select subsets A, B subset {1, ..., M} of size k = min(5, M) uniformly without replacement from M = 2L active candidate features. The intersection size X = |A n B| follows a Hypergeometric distribution with feasible limits x in [max(0, 2k - M), k]. The exact expected Jaccard index under random chance is:</w:t>
      </w:r>
    </w:p>
    <w:p>
      <w:pPr>
        <w:tabs>
          <w:tab w:pos="9360" w:val="right"/>
        </w:tabs>
        <w:spacing w:before="80" w:after="100" w:line="276" w:lineRule="auto"/>
        <w:ind w:left="576"/>
      </w:pPr>
      <m:oMath>
        <m:r>
          <m:t>𝔼[</m:t>
        </m:r>
        <m:sSub>
          <m:e>
            <m:r>
              <m:t>IoU</m:t>
            </m:r>
          </m:e>
          <m:sub>
            <m:r>
              <m:t>chance</m:t>
            </m:r>
          </m:sub>
        </m:sSub>
        <m:r>
          <m:t>(M, k)] = </m:t>
        </m:r>
        <m:nary>
          <m:naryPr>
            <m:chr m:val="∑"/>
          </m:naryPr>
          <m:sub>
            <m:r>
              <m:t>x=x_min</m:t>
            </m:r>
          </m:sub>
          <m:sup>
            <m:r>
              <m:t>k</m:t>
            </m:r>
          </m:sup>
          <m:e>
            <m:d>
              <m:dPr>
                <m:begChr m:val="("/>
                <m:endChr m:val=")"/>
              </m:dPr>
              <m:e>
                <m:f>
                  <m:num>
                    <m:r>
                      <m:t>x</m:t>
                    </m:r>
                  </m:num>
                  <m:den>
                    <m:r>
                      <m:t>2k - x</m:t>
                    </m:r>
                  </m:den>
                </m:f>
              </m:e>
            </m:d>
            <m:r>
              <m:t> · </m:t>
            </m:r>
            <m:f>
              <m:num>
                <m:d>
                  <m:dPr>
                    <m:begChr m:val="("/>
                    <m:endChr m:val=")"/>
                  </m:dPr>
                  <m:e>
                    <m:f>
                      <m:num>
                        <m:r>
                          <m:t>k</m:t>
                        </m:r>
                      </m:num>
                      <m:den>
                        <m:r>
                          <m:t>x</m:t>
                        </m:r>
                      </m:den>
                    </m:f>
                  </m:e>
                </m:d>
                <m:r>
                  <m:t> · </m:t>
                </m:r>
                <m:d>
                  <m:dPr>
                    <m:begChr m:val="("/>
                    <m:endChr m:val=")"/>
                  </m:dPr>
                  <m:e>
                    <m:f>
                      <m:num>
                        <m:r>
                          <m:t>M - k</m:t>
                        </m:r>
                      </m:num>
                      <m:den>
                        <m:r>
                          <m:t>k - x</m:t>
                        </m:r>
                      </m:den>
                    </m:f>
                  </m:e>
                </m:d>
              </m:num>
              <m:den>
                <m:d>
                  <m:dPr>
                    <m:begChr m:val="("/>
                    <m:endChr m:val=")"/>
                  </m:dPr>
                  <m:e>
                    <m:f>
                      <m:num>
                        <m:r>
                          <m:t>M</m:t>
                        </m:r>
                      </m:num>
                      <m:den>
                        <m:r>
                          <m:t>k</m:t>
                        </m:r>
                      </m:den>
                    </m:f>
                  </m:e>
                </m:d>
              </m:den>
            </m:f>
          </m:e>
        </m:nary>
      </m:oMath>
      <w:r>
        <w:rPr>
          <w:rFonts w:ascii="Times New Roman" w:hAnsi="Times New Roman"/>
          <w:b/>
          <w:color w:val="4A5568"/>
          <w:sz w:val="20"/>
        </w:rPr>
        <w:tab/>
        <w:t>(13)</w:t>
      </w:r>
    </w:p>
    <w:p>
      <w:pPr>
        <w:spacing w:before="0" w:after="100" w:line="276" w:lineRule="auto"/>
        <w:jc w:val="both"/>
      </w:pPr>
      <w:r>
        <w:rPr>
          <w:rFonts w:ascii="Times New Roman" w:hAnsi="Times New Roman"/>
          <w:color w:val="222222"/>
          <w:sz w:val="20"/>
        </w:rPr>
        <w:t>Discrete Single-Flow IoU Clarification: For two individual 5-element feature sets (k = 5), the intersection cardinality |A ∩ B| is an integer in {0, 1, 2, 3, 4, 5}, so individual-flow IoU belongs to {0, 1/9 ≈ 0.111, 2/8 = 0.250, 3/7 ≈ 0.429, 4/6 ≈ 0.667, 1}. Continuous values such as 0.7839 and 0.3281 must therefore be identified as cohort aggregates (for example, means across flows), not individual-flow scores. Report uncertainty intervals. Being above the random-overlap baseline is a descriptive comparison; it does not alone establish statistical significance or distinguish quantization drift from explainer noise.</w:t>
      </w:r>
    </w:p>
    <w:p>
      <w:pPr>
        <w:spacing w:before="0" w:after="100" w:line="276" w:lineRule="auto"/>
        <w:jc w:val="both"/>
      </w:pPr>
      <w:r>
        <w:rPr>
          <w:rFonts w:ascii="Times New Roman" w:hAnsi="Times New Roman"/>
          <w:color w:val="222222"/>
          <w:sz w:val="20"/>
        </w:rPr>
        <w:t>Table III compares the theoretical chance baseline against empirical Top-5 IoU across sequence length benchmarks.</w:t>
      </w:r>
    </w:p>
    <w:p>
      <w:pPr>
        <w:keepNext/>
        <w:spacing w:before="160" w:after="40"/>
      </w:pPr>
      <w:r>
        <w:rPr>
          <w:rFonts w:ascii="Times New Roman" w:hAnsi="Times New Roman"/>
          <w:b/>
          <w:color w:val="0B2545"/>
          <w:sz w:val="19"/>
        </w:rPr>
        <w:t>TABLE III: HYPERGEOMETRIC CHANCE BASELINE VS. EMPIRICAL EXPLANATION STABILITY</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1560"/>
        <w:gridCol w:w="1560"/>
        <w:gridCol w:w="1560"/>
        <w:gridCol w:w="1560"/>
        <w:gridCol w:w="1560"/>
        <w:gridCol w:w="1560"/>
      </w:tblGrid>
      <w:tr>
        <w:tc>
          <w:tcPr>
            <w:tcW w:type="dxa" w:w="2016"/>
            <w:tcMar>
              <w:top w:w="90" w:type="dxa"/>
              <w:bottom w:w="90" w:type="dxa"/>
              <w:left w:w="110" w:type="dxa"/>
              <w:right w:w="110" w:type="dxa"/>
            </w:tcMar>
            <w:shd w:fill="F0F4F8"/>
          </w:tcPr>
          <w:p>
            <w:pPr>
              <w:spacing w:before="0" w:after="0"/>
              <w:jc w:val="center"/>
            </w:pPr>
            <w:r>
              <w:rPr>
                <w:rFonts w:ascii="Times New Roman" w:hAnsi="Times New Roman"/>
                <w:b/>
                <w:color w:val="0B2545"/>
                <w:sz w:val="17"/>
              </w:rPr>
              <w:t>Sequence Length (L)</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Active Features (M)</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Chance Top-5 IoU</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Non-VPN</w:t>
            </w:r>
          </w:p>
        </w:tc>
        <w:tc>
          <w:tcPr>
            <w:tcW w:type="dxa" w:w="1440"/>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VPN</w:t>
            </w:r>
          </w:p>
        </w:tc>
        <w:tc>
          <w:tcPr>
            <w:tcW w:type="dxa" w:w="1584"/>
            <w:tcMar>
              <w:top w:w="90" w:type="dxa"/>
              <w:bottom w:w="90" w:type="dxa"/>
              <w:left w:w="110" w:type="dxa"/>
              <w:right w:w="110" w:type="dxa"/>
            </w:tcMar>
            <w:shd w:fill="F0F4F8"/>
          </w:tcPr>
          <w:p>
            <w:pPr>
              <w:spacing w:before="0" w:after="0"/>
              <w:jc w:val="center"/>
            </w:pPr>
            <w:r>
              <w:rPr>
                <w:rFonts w:ascii="Times New Roman" w:hAnsi="Times New Roman"/>
                <w:b/>
                <w:color w:val="0B2545"/>
                <w:sz w:val="17"/>
              </w:rPr>
              <w:t>Empirical /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4 (Non-VPN Med.)</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0.4707</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0.7839</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1.67x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10</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20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0.1481</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0.6201</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0.4812</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3.25x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24 (VPN Median)</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48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0.0604</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0.3281</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5.43x chance</w:t>
            </w:r>
          </w:p>
        </w:tc>
      </w:tr>
      <w:tr>
        <w:tc>
          <w:tcPr>
            <w:tcW w:type="dxa" w:w="2016"/>
            <w:tcMar>
              <w:top w:w="70" w:type="dxa"/>
              <w:bottom w:w="70" w:type="dxa"/>
              <w:left w:w="110" w:type="dxa"/>
              <w:right w:w="110" w:type="dxa"/>
            </w:tcMar>
          </w:tcPr>
          <w:p>
            <w:pPr>
              <w:spacing w:before="0" w:after="0"/>
              <w:jc w:val="center"/>
            </w:pPr>
            <w:r>
              <w:rPr>
                <w:rFonts w:ascii="Times New Roman" w:hAnsi="Times New Roman"/>
                <w:color w:val="222222"/>
                <w:sz w:val="17"/>
              </w:rPr>
              <w:t>L = 64 (Max Length)</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128 features</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0.0220</w:t>
            </w:r>
          </w:p>
        </w:tc>
        <w:tc>
          <w:tcPr>
            <w:tcW w:type="dxa" w:w="1584"/>
            <w:tcMar>
              <w:top w:w="70" w:type="dxa"/>
              <w:bottom w:w="70" w:type="dxa"/>
              <w:left w:w="110" w:type="dxa"/>
              <w:right w:w="110" w:type="dxa"/>
            </w:tcMar>
          </w:tcPr>
          <w:p>
            <w:pPr>
              <w:spacing w:before="0" w:after="0"/>
              <w:jc w:val="center"/>
            </w:pPr>
            <w:r>
              <w:rPr>
                <w:rFonts w:ascii="Times New Roman" w:hAnsi="Times New Roman"/>
                <w:color w:val="222222"/>
                <w:sz w:val="17"/>
              </w:rPr>
              <w:t>N/A</w:t>
            </w:r>
          </w:p>
        </w:tc>
        <w:tc>
          <w:tcPr>
            <w:tcW w:type="dxa" w:w="1440"/>
            <w:tcMar>
              <w:top w:w="70" w:type="dxa"/>
              <w:bottom w:w="70" w:type="dxa"/>
              <w:left w:w="110" w:type="dxa"/>
              <w:right w:w="110" w:type="dxa"/>
            </w:tcMar>
          </w:tcPr>
          <w:p>
            <w:pPr>
              <w:spacing w:before="0" w:after="0"/>
              <w:jc w:val="center"/>
            </w:pPr>
            <w:r>
              <w:rPr>
                <w:rFonts w:ascii="Times New Roman" w:hAnsi="Times New Roman"/>
                <w:color w:val="222222"/>
                <w:sz w:val="17"/>
              </w:rPr>
              <w:t>0.1418</w:t>
            </w:r>
          </w:p>
        </w:tc>
        <w:tc>
          <w:tcPr>
            <w:tcW w:type="dxa" w:w="1584"/>
            <w:tcMar>
              <w:top w:w="70" w:type="dxa"/>
              <w:bottom w:w="70" w:type="dxa"/>
              <w:left w:w="110" w:type="dxa"/>
              <w:right w:w="110" w:type="dxa"/>
            </w:tcMar>
          </w:tcPr>
          <w:p>
            <w:pPr>
              <w:spacing w:before="0" w:after="0"/>
              <w:jc w:val="center"/>
            </w:pPr>
            <w:r>
              <w:rPr>
                <w:rFonts w:ascii="Times New Roman" w:hAnsi="Times New Roman"/>
                <w:b/>
                <w:color w:val="222222"/>
                <w:sz w:val="17"/>
              </w:rPr>
              <w:t>6.45x chance</w:t>
            </w:r>
          </w:p>
        </w:tc>
      </w:tr>
    </w:tbl>
    <w:p>
      <w:pPr>
        <w:spacing w:before="0" w:after="120"/>
      </w:pPr>
    </w:p>
    <w:p>
      <w:pPr>
        <w:spacing w:before="0" w:after="100" w:line="276" w:lineRule="auto"/>
        <w:jc w:val="both"/>
      </w:pPr>
      <w:r>
        <w:rPr>
          <w:rFonts w:ascii="Times New Roman" w:hAnsi="Times New Roman"/>
          <w:color w:val="222222"/>
          <w:sz w:val="20"/>
        </w:rPr>
        <w:t>Sequence-Length-Matched Cohort Analysis: Construct a cohort of 120 VPN/Non-VPN pairs matched on identical active sequence length (L_VPN = L_Non-VPN), if the available data support this matching. Apply paired tests to the matched outcome differences and bootstrap by pair (or capture cluster) for 10,000 iterations. Matching reduces confounding by sequence length but does not eliminate differences in application, capture source, or other flow characteristics; report the matching protocol and residual imbalances.</w:t>
      </w:r>
    </w:p>
    <w:p>
      <w:pPr>
        <w:keepNext/>
        <w:spacing w:before="280" w:after="80"/>
      </w:pPr>
      <w:r>
        <w:rPr>
          <w:rFonts w:ascii="Times New Roman" w:hAnsi="Times New Roman"/>
          <w:b/>
          <w:color w:val="0B2545"/>
          <w:sz w:val="26"/>
        </w:rPr>
        <w:t>2. QUALITATIVE METHODOLOGY</w:t>
      </w:r>
    </w:p>
    <w:p>
      <w:pPr>
        <w:keepNext/>
        <w:spacing w:before="200" w:after="60"/>
      </w:pPr>
      <w:r>
        <w:rPr>
          <w:rFonts w:ascii="Times New Roman" w:hAnsi="Times New Roman"/>
          <w:b/>
          <w:color w:val="134074"/>
          <w:sz w:val="22"/>
        </w:rPr>
        <w:t>2.1 Threat Model &amp; Automated Incident Response Cascade (SOAR / SIEM)</w:t>
      </w:r>
    </w:p>
    <w:p>
      <w:pPr>
        <w:spacing w:before="0" w:after="100" w:line="276" w:lineRule="auto"/>
        <w:jc w:val="both"/>
      </w:pPr>
      <w:r>
        <w:rPr>
          <w:rFonts w:ascii="Times New Roman" w:hAnsi="Times New Roman"/>
          <w:color w:val="222222"/>
          <w:sz w:val="20"/>
        </w:rPr>
        <w:t>While quantitative metrics define numerical divergence, qualitative contextualization is required to evaluate operational impact. In modern enterprise security architectures, edge traffic classifiers feed directly into Security Operations Center (SOC) pipelines, Security Information and Event Management (SIEM) aggregators, and Security Orchestration, Automation, and Response (SOAR) platforms.</w:t>
      </w:r>
    </w:p>
    <w:p>
      <w:pPr>
        <w:spacing w:before="0" w:after="100" w:line="276" w:lineRule="auto"/>
        <w:jc w:val="both"/>
      </w:pPr>
      <w:r>
        <w:rPr>
          <w:rFonts w:ascii="Times New Roman" w:hAnsi="Times New Roman"/>
          <w:color w:val="222222"/>
          <w:sz w:val="20"/>
        </w:rPr>
        <w:t>Operational Threat Cascade Hypothesis: In an automated response environment, an edge classifier could forward high-confidence alerts and the top-ranked explanatory feature indices T_k(phi_INT8) to a SIEM. A custom SOAR rule-generation component would then need to map those packet-level features to observable firewall fields before generating ACL or rate-limiting rules. Use the operating threshold selected on validation data and frozen before test evaluation; do not assume p &gt;= 0.5 is appropriate for a class-weighted model. The following rules are illustrative examples only and have not been established here as valid or effective rules generated from the attribution indices:</w:t>
      </w:r>
    </w:p>
    <w:p>
      <w:pPr>
        <w:spacing w:before="0" w:after="100" w:line="276" w:lineRule="auto"/>
        <w:jc w:val="both"/>
      </w:pPr>
      <w:r>
        <w:rPr>
          <w:rFonts w:ascii="Times New Roman" w:hAnsi="Times New Roman"/>
          <w:color w:val="222222"/>
          <w:sz w:val="20"/>
        </w:rPr>
        <w:t xml:space="preserve">    iptables -A FORWARD -p tcp -m length --length 1420:1440 -m limit --limit 50/s -j DROP</w:t>
        <w:br/>
        <w:t xml:space="preserve">    iptables -A FORWARD -p udp -m length --length 175:185 -j REJECT</w:t>
      </w:r>
    </w:p>
    <w:p>
      <w:pPr>
        <w:spacing w:before="0" w:after="100" w:line="276" w:lineRule="auto"/>
        <w:jc w:val="both"/>
      </w:pPr>
      <w:r>
        <w:rPr>
          <w:rFonts w:ascii="Times New Roman" w:hAnsi="Times New Roman"/>
          <w:color w:val="222222"/>
          <w:sz w:val="20"/>
        </w:rPr>
        <w:t>The hypothesized failure pathway is that FP32 and INT8 explanations could lead a custom rule generator to select different traffic characteristics, potentially producing rules with different robustness. Packet-padding evasion is a testable hypothesis, not a demonstrated consequence of attribution drift. Validate it using controlled padding experiments that preserve the intended traffic class, an explicit rule-generation algorithm, and a real firewall/IDS test environment; report detection, false-positive, and evasion rates before claiming operational impact.</w:t>
      </w:r>
    </w:p>
    <w:p>
      <w:pPr>
        <w:keepNext/>
        <w:spacing w:before="200" w:after="60"/>
      </w:pPr>
      <w:r>
        <w:rPr>
          <w:rFonts w:ascii="Times New Roman" w:hAnsi="Times New Roman"/>
          <w:b/>
          <w:color w:val="134074"/>
          <w:sz w:val="22"/>
        </w:rPr>
        <w:t>2.2 Temporal Attention Dynamics across Flow Lifecycles (Early vs. Late Phase)</w:t>
      </w:r>
    </w:p>
    <w:p>
      <w:pPr>
        <w:spacing w:before="0" w:after="100" w:line="276" w:lineRule="auto"/>
        <w:jc w:val="both"/>
      </w:pPr>
      <w:r>
        <w:rPr>
          <w:rFonts w:ascii="Times New Roman" w:hAnsi="Times New Roman"/>
          <w:color w:val="222222"/>
          <w:sz w:val="20"/>
        </w:rPr>
        <w:t>Network flows possess temporal structure governed by protocol state machines. This study analyzes flow timelines across two functional phases:</w:t>
      </w:r>
    </w:p>
    <w:p>
      <w:pPr>
        <w:spacing w:before="0" w:after="100" w:line="276" w:lineRule="auto"/>
        <w:jc w:val="both"/>
      </w:pPr>
      <w:r>
        <w:rPr>
          <w:rFonts w:ascii="Times New Roman" w:hAnsi="Times New Roman"/>
          <w:color w:val="222222"/>
          <w:sz w:val="20"/>
        </w:rPr>
        <w:t>1. Early Flow Region (t &lt; 6): A fixed early-packet observation window.</w:t>
        <w:br/>
        <w:t>2. Late Flow Region (t &gt;= 6): The remaining observed packets through t = L - 1.</w:t>
        <w:br/>
        <w:t>These bins are index-based and are not treated as protocol-state labels.</w:t>
      </w:r>
    </w:p>
    <w:p>
      <w:pPr>
        <w:spacing w:before="0" w:after="100" w:line="276" w:lineRule="auto"/>
        <w:jc w:val="both"/>
      </w:pPr>
      <w:r>
        <w:rPr>
          <w:rFonts w:ascii="Times New Roman" w:hAnsi="Times New Roman"/>
          <w:color w:val="222222"/>
          <w:sz w:val="20"/>
        </w:rPr>
        <w:t>To evaluate whether attribution mass migrates across the flow lifecycle, the normalized relative early-phase attribution ratio is defined:</w:t>
      </w:r>
    </w:p>
    <w:p>
      <w:pPr>
        <w:spacing w:before="0" w:after="100" w:line="276" w:lineRule="auto"/>
        <w:jc w:val="both"/>
      </w:pPr>
      <w:r>
        <w:rPr>
          <w:rFonts w:ascii="Times New Roman" w:hAnsi="Times New Roman"/>
          <w:color w:val="222222"/>
          <w:sz w:val="20"/>
        </w:rPr>
        <w:t>R_early = Omega_early / (Omega_early + Omega_late), where Omega_early = sum_{t=0}^{min(5,L-1)} (|phi_{0,t}| + |phi_{1,t}|) and Omega_late = sum_{t=6}^{L-1} (|phi_{0,t}| + |phi_{1,t}|). Only observed positions t &lt; L are included. If total absolute attribution mass is zero, mark R_early as undefined and report the number of such flows.</w:t>
      </w:r>
    </w:p>
    <w:p>
      <w:pPr>
        <w:spacing w:before="0" w:after="100" w:line="276" w:lineRule="auto"/>
        <w:jc w:val="both"/>
      </w:pPr>
      <w:r>
        <w:rPr>
          <w:rFonts w:ascii="Times New Roman" w:hAnsi="Times New Roman"/>
          <w:color w:val="222222"/>
          <w:sz w:val="20"/>
        </w:rPr>
        <w:t>The early/late split is a descriptive temporal partition, not evidence that a particular packet contains a TCP handshake, TLS negotiation, QUIC setup, or application payload. Protocol-phase interpretations require protocol-aware labels or packet-level validation. This analysis tests whether attribution mass shifts between the two index-based regions or whether rankings change within a region.</w:t>
      </w:r>
    </w:p>
    <w:p>
      <w:pPr>
        <w:keepNext/>
        <w:spacing w:before="200" w:after="60"/>
      </w:pPr>
      <w:r>
        <w:rPr>
          <w:rFonts w:ascii="Times New Roman" w:hAnsi="Times New Roman"/>
          <w:b/>
          <w:color w:val="134074"/>
          <w:sz w:val="22"/>
        </w:rPr>
        <w:t>2.3 Application-Level Explainability Risk Profiling</w:t>
      </w:r>
    </w:p>
    <w:p>
      <w:pPr>
        <w:spacing w:before="0" w:after="100" w:line="276" w:lineRule="auto"/>
        <w:jc w:val="both"/>
      </w:pPr>
      <w:r>
        <w:rPr>
          <w:rFonts w:ascii="Times New Roman" w:hAnsi="Times New Roman"/>
          <w:color w:val="222222"/>
          <w:sz w:val="20"/>
        </w:rPr>
        <w:t>Application-Level Explainability Risk Profiling: Application categories are grouped into prespecified operational archetypes only after verifying the exact labels in the dataset version used. Candidate archetypes include persistent peer-to-peer/bulk transfers, continuous media streaming, ephemeral interactive messaging, and sample-constrained legacy applications. For each category, report the exact corpus and split-specific sample counts, mean and median attribution metrics, and confidence intervals. Treat claims about especially high or low IoU as empirical outcomes to be reproduced, not as properties guaranteed by the archetype.</w:t>
      </w:r>
    </w:p>
    <w:p>
      <w:pPr>
        <w:spacing w:before="0" w:after="100" w:line="276" w:lineRule="auto"/>
        <w:jc w:val="both"/>
      </w:pPr>
      <w:r>
        <w:rPr>
          <w:rFonts w:ascii="Times New Roman" w:hAnsi="Times New Roman"/>
          <w:color w:val="222222"/>
          <w:sz w:val="20"/>
        </w:rPr>
        <w:t>Mechanistic interpretations are evaluated separately from descriptive group differences. In particular, the hypothesis that quantization perturbations compound through sequential convolutional stages requires supporting evidence, such as layer-wise perturbation analysis or controlled ablations. Small application groups should be reported with their sample sizes and wide uncertainty intervals, and should not support strong comparative or regulatory conclusions on their own.</w:t>
      </w:r>
    </w:p>
    <w:p>
      <w:pPr>
        <w:keepNext/>
        <w:spacing w:before="200" w:after="60"/>
      </w:pPr>
      <w:r>
        <w:rPr>
          <w:rFonts w:ascii="Times New Roman" w:hAnsi="Times New Roman"/>
          <w:b/>
          <w:color w:val="134074"/>
          <w:sz w:val="22"/>
        </w:rPr>
        <w:t>2.4 Regulatory Governance &amp; Model Auditing Protocol</w:t>
      </w:r>
    </w:p>
    <w:p>
      <w:pPr>
        <w:spacing w:before="0" w:after="100" w:line="276" w:lineRule="auto"/>
        <w:jc w:val="both"/>
      </w:pPr>
      <w:r>
        <w:rPr>
          <w:rFonts w:ascii="Times New Roman" w:hAnsi="Times New Roman"/>
          <w:color w:val="222222"/>
          <w:sz w:val="20"/>
        </w:rPr>
        <w:t>Regulatory Governance &amp; Model Auditing Protocol: The relevance of the EU AI Act and GDPR depends on the system's intended purpose, deployment context, legal classification, and the type of decision being made. This study uses those frameworks as governance motivation for examining transparency and auditability; attribution drift alone does not establish that a deployment is legally high-risk or non-compliant.</w:t>
      </w:r>
    </w:p>
    <w:p>
      <w:pPr>
        <w:spacing w:before="0" w:after="100" w:line="276" w:lineRule="auto"/>
        <w:jc w:val="both"/>
      </w:pPr>
      <w:r>
        <w:rPr>
          <w:rFonts w:ascii="Times New Roman" w:hAnsi="Times New Roman"/>
          <w:color w:val="222222"/>
          <w:sz w:val="20"/>
        </w:rPr>
        <w:t>• EU Artificial Intelligence Act (including Annex III and Articles 13–14): The applicability of high-risk requirements depends on the system's legal classification and intended use. Where applicable, transparency and human-oversight obligations motivate documenting model behavior and post-deployment changes.</w:t>
        <w:br/>
        <w:t>• GDPR Article 22 and Recital 71: These provisions are relevant only where their conditions for solely automated decision-making and legal or similarly significant effects are met, subject to applicable exceptions and safeguards. They should not be described as a universal right to an explanation for every automated network-security action.</w:t>
      </w:r>
    </w:p>
    <w:p>
      <w:pPr>
        <w:spacing w:before="160" w:after="160" w:line="276" w:lineRule="auto"/>
        <w:ind w:left="432" w:right="288"/>
        <w:pBdr>
          <w:left w:val="single" w:sz="24" w:space="12" w:color="0B2545"/>
        </w:pBdr>
        <w:shd w:fill="F8FAFC"/>
      </w:pPr>
      <w:r>
        <w:rPr>
          <w:rFonts w:ascii="Times New Roman" w:hAnsi="Times New Roman"/>
          <w:b/>
          <w:color w:val="0B2545"/>
          <w:sz w:val="20"/>
        </w:rPr>
        <w:t>The XDrift Dual-Fidelity Auditing Protocol</w:t>
        <w:br/>
      </w:r>
      <w:r>
        <w:rPr>
          <w:rFonts w:ascii="Times New Roman" w:hAnsi="Times New Roman"/>
          <w:i/>
          <w:color w:val="2D3748"/>
          <w:sz w:val="19"/>
        </w:rPr>
        <w:t>This study proposes, for evaluation, a two-gate technical audit rather than a legally mandated certification standard. Gate 1 (predictive-task fidelity) requires |Acc_FP32 - Acc_INT8| &lt;= 0.50% and minority-recall difference &lt;= 1.00%. Gate 2 (attribution fidelity) proposes IoU_feat &gt;= 0.70 and rho &gt;= 0.75. These thresholds are candidate tolerances, not universal requirements; justify them with deployment-specific risk analysis and confidence intervals. Models failing the proposed gate are flagged for further review, not automatically deemed legally non-compliant.</w:t>
      </w:r>
    </w:p>
    <w:p>
      <w:pPr>
        <w:keepNext/>
        <w:spacing w:before="160" w:after="40"/>
      </w:pPr>
      <w:r>
        <w:rPr>
          <w:rFonts w:ascii="Times New Roman" w:hAnsi="Times New Roman"/>
          <w:b/>
          <w:color w:val="0B2545"/>
          <w:sz w:val="19"/>
        </w:rPr>
        <w:t>TABLE IV: METHODOLOGICAL SYNTHESIS: QUANTITATIVE FORMULATION VS. QUALITATIVE VALUE</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3120"/>
        <w:gridCol w:w="3120"/>
        <w:gridCol w:w="3120"/>
      </w:tblGrid>
      <w:tr>
        <w:tc>
          <w:tcPr>
            <w:tcW w:type="dxa" w:w="2592"/>
            <w:tcMar>
              <w:top w:w="90" w:type="dxa"/>
              <w:bottom w:w="90" w:type="dxa"/>
              <w:left w:w="110" w:type="dxa"/>
              <w:right w:w="110" w:type="dxa"/>
            </w:tcMar>
            <w:shd w:fill="F0F4F8"/>
          </w:tcPr>
          <w:p>
            <w:pPr>
              <w:spacing w:before="0" w:after="0"/>
              <w:jc w:val="center"/>
            </w:pPr>
            <w:r>
              <w:rPr>
                <w:rFonts w:ascii="Times New Roman" w:hAnsi="Times New Roman"/>
                <w:b/>
                <w:color w:val="0B2545"/>
                <w:sz w:val="17"/>
              </w:rPr>
              <w:t>Methodological Dimension</w:t>
            </w:r>
          </w:p>
        </w:tc>
        <w:tc>
          <w:tcPr>
            <w:tcW w:type="dxa" w:w="3312"/>
            <w:tcMar>
              <w:top w:w="90" w:type="dxa"/>
              <w:bottom w:w="90" w:type="dxa"/>
              <w:left w:w="110" w:type="dxa"/>
              <w:right w:w="110" w:type="dxa"/>
            </w:tcMar>
            <w:shd w:fill="F0F4F8"/>
          </w:tcPr>
          <w:p>
            <w:pPr>
              <w:spacing w:before="0" w:after="0"/>
              <w:jc w:val="center"/>
            </w:pPr>
            <w:r>
              <w:rPr>
                <w:rFonts w:ascii="Times New Roman" w:hAnsi="Times New Roman"/>
                <w:b/>
                <w:color w:val="0B2545"/>
                <w:sz w:val="17"/>
              </w:rPr>
              <w:t>Quantitative Implementation</w:t>
            </w:r>
          </w:p>
        </w:tc>
        <w:tc>
          <w:tcPr>
            <w:tcW w:type="dxa" w:w="3456"/>
            <w:tcMar>
              <w:top w:w="90" w:type="dxa"/>
              <w:bottom w:w="90" w:type="dxa"/>
              <w:left w:w="110" w:type="dxa"/>
              <w:right w:w="110" w:type="dxa"/>
            </w:tcMar>
            <w:shd w:fill="F0F4F8"/>
          </w:tcPr>
          <w:p>
            <w:pPr>
              <w:spacing w:before="0" w:after="0"/>
              <w:jc w:val="center"/>
            </w:pPr>
            <w:r>
              <w:rPr>
                <w:rFonts w:ascii="Times New Roman" w:hAnsi="Times New Roman"/>
                <w:b/>
                <w:color w:val="0B2545"/>
                <w:sz w:val="17"/>
              </w:rPr>
              <w:t>Qualitative Context &amp; Operational Value</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Data Featurization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dpkt stream parsing; 55,498 flows; (2, 64) tensors; signed length &amp; log IAT.</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Respects TLS 1.3/QUIC payload encryption; operates purely on transport-layer behavioral metadata.</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Imbalance Mitigation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Weighted BCE loss (pos_weight = 21.4166); validation F1-optimized threshold (tau*=0.62).</w:t>
            </w:r>
          </w:p>
        </w:tc>
        <w:tc>
          <w:tcPr>
            <w:tcW w:type="dxa" w:w="3456"/>
            <w:tcMar>
              <w:top w:w="70" w:type="dxa"/>
              <w:bottom w:w="70" w:type="dxa"/>
              <w:left w:w="100" w:type="dxa"/>
              <w:right w:w="100" w:type="dxa"/>
            </w:tcMar>
          </w:tcPr>
          <w:p>
            <w:r>
              <w:rPr>
                <w:rFonts w:ascii="Times New Roman" w:hAnsi="Times New Roman"/>
                <w:sz w:val="16"/>
              </w:rPr>
              <w:t>Evaluates minority-class recall on held-out data; report uncertainty and the threshold-selection protocol.</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Dual Quantization</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Static PTQ (balanced calibration) vs. QAT (FakeQuant + STE backprop).</w:t>
            </w:r>
          </w:p>
        </w:tc>
        <w:tc>
          <w:tcPr>
            <w:tcW w:type="dxa" w:w="3456"/>
            <w:tcMar>
              <w:top w:w="70" w:type="dxa"/>
              <w:bottom w:w="70" w:type="dxa"/>
              <w:left w:w="100" w:type="dxa"/>
              <w:right w:w="100" w:type="dxa"/>
            </w:tcMar>
          </w:tcPr>
          <w:p>
            <w:pPr>
              <w:spacing w:before="0" w:after="0"/>
              <w:jc w:val="left"/>
            </w:pPr>
            <w:r>
              <w:rPr>
                <w:rFonts w:ascii="Times New Roman" w:hAnsi="Times New Roman"/>
                <w:color w:val="222222"/>
                <w:sz w:val="17"/>
              </w:rPr>
              <w:t>Evaluates whether attribution drift stems from naive rounding or persists under task-loss QAT fine-tuning.</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Explainability Suite</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KernelSHAP on discrete INT8 vs. Integrated Gradients on FakeQuant STE.</w:t>
            </w:r>
          </w:p>
        </w:tc>
        <w:tc>
          <w:tcPr>
            <w:tcW w:type="dxa" w:w="3456"/>
            <w:tcMar>
              <w:top w:w="70" w:type="dxa"/>
              <w:bottom w:w="70" w:type="dxa"/>
              <w:left w:w="100" w:type="dxa"/>
              <w:right w:w="100" w:type="dxa"/>
            </w:tcMar>
          </w:tcPr>
          <w:p>
            <w:r>
              <w:rPr>
                <w:rFonts w:ascii="Times New Roman" w:hAnsi="Times New Roman"/>
                <w:sz w:val="16"/>
              </w:rPr>
              <w:t>Compares discrete black-box queries with surrogate gradients; model-representation differences limit direct explainer comparisons.</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Confounder Rigor</w:t>
            </w:r>
          </w:p>
        </w:tc>
        <w:tc>
          <w:tcPr>
            <w:tcW w:type="dxa" w:w="3312"/>
            <w:tcMar>
              <w:top w:w="70" w:type="dxa"/>
              <w:bottom w:w="70" w:type="dxa"/>
              <w:left w:w="100" w:type="dxa"/>
              <w:right w:w="100" w:type="dxa"/>
            </w:tcMar>
          </w:tcPr>
          <w:p>
            <w:r>
              <w:rPr>
                <w:rFonts w:ascii="Times New Roman" w:hAnsi="Times New Roman"/>
                <w:sz w:val="16"/>
              </w:rPr>
              <w:t>Multi-seed repeatability; OLS with interaction and capture-clustered uncertainty; chance baseline.</w:t>
            </w:r>
          </w:p>
        </w:tc>
        <w:tc>
          <w:tcPr>
            <w:tcW w:type="dxa" w:w="3456"/>
            <w:tcMar>
              <w:top w:w="70" w:type="dxa"/>
              <w:bottom w:w="70" w:type="dxa"/>
              <w:left w:w="100" w:type="dxa"/>
              <w:right w:w="100" w:type="dxa"/>
            </w:tcMar>
          </w:tcPr>
          <w:p>
            <w:r>
              <w:rPr>
                <w:rFonts w:ascii="Times New Roman" w:hAnsi="Times New Roman"/>
                <w:sz w:val="16"/>
              </w:rPr>
              <w:t>Provides a random-overlap reference; paired uncertainty and repeatability analyses are needed before attributing drift to quantization.</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Cybersecurity Operations</w:t>
            </w:r>
          </w:p>
        </w:tc>
        <w:tc>
          <w:tcPr>
            <w:tcW w:type="dxa" w:w="3312"/>
            <w:tcMar>
              <w:top w:w="70" w:type="dxa"/>
              <w:bottom w:w="70" w:type="dxa"/>
              <w:left w:w="100" w:type="dxa"/>
              <w:right w:w="100" w:type="dxa"/>
            </w:tcMar>
          </w:tcPr>
          <w:p>
            <w:pPr>
              <w:spacing w:before="0" w:after="0"/>
              <w:jc w:val="left"/>
            </w:pPr>
            <w:r>
              <w:rPr>
                <w:rFonts w:ascii="Times New Roman" w:hAnsi="Times New Roman"/>
                <w:color w:val="222222"/>
                <w:sz w:val="17"/>
              </w:rPr>
              <w:t>Mapping feature shifts to automated SOAR playbook rule synthesis.</w:t>
            </w:r>
          </w:p>
        </w:tc>
        <w:tc>
          <w:tcPr>
            <w:tcW w:type="dxa" w:w="3456"/>
            <w:tcMar>
              <w:top w:w="70" w:type="dxa"/>
              <w:bottom w:w="70" w:type="dxa"/>
              <w:left w:w="100" w:type="dxa"/>
              <w:right w:w="100" w:type="dxa"/>
            </w:tcMar>
          </w:tcPr>
          <w:p>
            <w:r>
              <w:rPr>
                <w:rFonts w:ascii="Times New Roman" w:hAnsi="Times New Roman"/>
                <w:sz w:val="16"/>
              </w:rPr>
              <w:t>Describes a proposed threat pathway; ACL fragility and padding-based evasion require validation in a rule-generation prototype and firewall/IDS experiments.</w:t>
            </w:r>
          </w:p>
        </w:tc>
      </w:tr>
      <w:tr>
        <w:tc>
          <w:tcPr>
            <w:tcW w:type="dxa" w:w="2592"/>
            <w:tcMar>
              <w:top w:w="70" w:type="dxa"/>
              <w:bottom w:w="70" w:type="dxa"/>
              <w:left w:w="100" w:type="dxa"/>
              <w:right w:w="100" w:type="dxa"/>
            </w:tcMar>
          </w:tcPr>
          <w:p>
            <w:pPr>
              <w:spacing w:before="0" w:after="0"/>
              <w:jc w:val="left"/>
            </w:pPr>
            <w:r>
              <w:rPr>
                <w:rFonts w:ascii="Times New Roman" w:hAnsi="Times New Roman"/>
                <w:b/>
                <w:color w:val="222222"/>
                <w:sz w:val="17"/>
              </w:rPr>
              <w:t>Regulatory Governance</w:t>
            </w:r>
          </w:p>
        </w:tc>
        <w:tc>
          <w:tcPr>
            <w:tcW w:type="dxa" w:w="3312"/>
            <w:tcMar>
              <w:top w:w="70" w:type="dxa"/>
              <w:bottom w:w="70" w:type="dxa"/>
              <w:left w:w="100" w:type="dxa"/>
              <w:right w:w="100" w:type="dxa"/>
            </w:tcMar>
          </w:tcPr>
          <w:p>
            <w:r>
              <w:rPr>
                <w:rFonts w:ascii="Times New Roman" w:hAnsi="Times New Roman"/>
                <w:sz w:val="16"/>
              </w:rPr>
              <w:t>Proposed dual-fidelity audit criteria; not a statutory certification protocol.</w:t>
            </w:r>
          </w:p>
        </w:tc>
        <w:tc>
          <w:tcPr>
            <w:tcW w:type="dxa" w:w="3456"/>
            <w:tcMar>
              <w:top w:w="70" w:type="dxa"/>
              <w:bottom w:w="70" w:type="dxa"/>
              <w:left w:w="100" w:type="dxa"/>
              <w:right w:w="100" w:type="dxa"/>
            </w:tcMar>
          </w:tcPr>
          <w:p>
            <w:r>
              <w:rPr>
                <w:rFonts w:ascii="Times New Roman" w:hAnsi="Times New Roman"/>
                <w:sz w:val="16"/>
              </w:rPr>
              <w:t>Offers candidate technical governance checks; applicability of EU AI Act/GDPR duties depends on the deployment and legal conditions.</w:t>
            </w:r>
          </w:p>
        </w:tc>
      </w:tr>
    </w:tbl>
    <w:p>
      <w:pPr>
        <w:spacing w:before="120"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A0AEC0"/>
        <w:sz w:val="17"/>
      </w:rPr>
      <w:t>RESEARCH METHODOLOGY — INVESTIGATING ATTRIBUTION DRIFT IN QUANTIZED 1D CNNS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7"/>
      </w:rPr>
      <w:t>MANUSCRIPT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