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9375A"/>
          <w:sz w:val="46"/>
        </w:rPr>
        <w:t>XDrift: A Clean, Reproducible Research Protocol</w:t>
      </w:r>
    </w:p>
    <w:p>
      <w:pPr>
        <w:jc w:val="center"/>
      </w:pPr>
      <w:r>
        <w:rPr>
          <w:i/>
          <w:sz w:val="24"/>
        </w:rPr>
        <w:t>Quantization-induced model drift and attribution drift in encrypted-traffic classification</w:t>
      </w:r>
    </w:p>
    <w:p>
      <w:pPr>
        <w:jc w:val="center"/>
      </w:pPr>
      <w:r>
        <w:rPr>
          <w:b/>
        </w:rPr>
        <w:t>Protocol for a fresh implementation — no empirical outcomes assumed</w:t>
      </w:r>
    </w:p>
    <w:p>
      <w:r>
        <w:t>Purpose. This document defines a prospective protocol to implement, test, and report the study from a clean starting point. It deliberately does not treat earlier manuscript numbers, scripts, tables, or conclusions as ground truth. Every result must be regenerated from the frozen dataset manifest, source code, model checkpoints, and analysis scripts.</w:t>
      </w:r>
    </w:p>
    <w:p>
      <w:pPr>
        <w:pStyle w:val="Heading1"/>
      </w:pPr>
      <w:r>
        <w:t>1. Research question and terminology</w:t>
      </w:r>
    </w:p>
    <w:p>
      <w:r>
        <w:t>Primary question: When a trained FP32 1D-CNN is converted to INT8 inference, how much does its predictive behaviour change, and how much do its feature attributions change?</w:t>
      </w:r>
    </w:p>
    <w:p>
      <w:r>
        <w:t>Use two distinct terms throughout the project:</w:t>
      </w:r>
    </w:p>
    <w:p>
      <w:pPr>
        <w:pStyle w:val="ListBullet"/>
      </w:pPr>
      <w:r>
        <w:t>Quantization-induced model drift: a change in model outputs or decisions caused by representing weights and/or activations with reduced numerical precision. Examples include logit differences, changed class probabilities, prediction flips, and changes in predictive metrics.</w:t>
      </w:r>
    </w:p>
    <w:p>
      <w:pPr>
        <w:pStyle w:val="ListBullet"/>
      </w:pPr>
      <w:r>
        <w:t>Attribution drift: a change in an explanation produced for the same input when the reference FP32 model is replaced by a quantized model, using the same explainer, target class, input representation, and background/baseline protocol.</w:t>
      </w:r>
    </w:p>
    <w:p>
      <w:pPr>
        <w:pStyle w:val="ListBullet"/>
      </w:pPr>
      <w:r>
        <w:t>Explainer variability: changes caused by stochastic sampling, baseline choice, approximation settings, or explainer implementation. This is a separate source of variation and must not be attributed to quantization.</w:t>
      </w:r>
    </w:p>
    <w:p>
      <w:pPr>
        <w:pStyle w:val="Heading1"/>
      </w:pPr>
      <w:r>
        <w:t>2. Hypotheses and estimands</w:t>
      </w:r>
    </w:p>
    <w:p>
      <w:pPr>
        <w:pStyle w:val="ListNumber"/>
      </w:pPr>
      <w:r>
        <w:rPr>
          <w:b/>
        </w:rPr>
        <w:t xml:space="preserve">H1 — Predictive fidelity: </w:t>
      </w:r>
      <w:r>
        <w:t>INT8 models will show measurable output differences from the FP32 model; the magnitude and direction of any task-metric change will be measured rather than assumed.</w:t>
      </w:r>
    </w:p>
    <w:p>
      <w:pPr>
        <w:pStyle w:val="ListNumber"/>
      </w:pPr>
      <w:r>
        <w:rPr>
          <w:b/>
        </w:rPr>
        <w:t xml:space="preserve">H2 — Attribution fidelity: </w:t>
      </w:r>
      <w:r>
        <w:t>For the same test flow and the same model-agnostic explainer, the FP32 and INT8 attribution vectors will differ in magnitude, ranking, or both.</w:t>
      </w:r>
    </w:p>
    <w:p>
      <w:pPr>
        <w:pStyle w:val="ListNumber"/>
      </w:pPr>
      <w:r>
        <w:rPr>
          <w:b/>
        </w:rPr>
        <w:t xml:space="preserve">H3 — PTQ versus QAT: </w:t>
      </w:r>
      <w:r>
        <w:t>QAT may reduce predictive drift relative to PTQ, but whether it also reduces attribution drift is an empirical question.</w:t>
      </w:r>
    </w:p>
    <w:p>
      <w:pPr>
        <w:pStyle w:val="ListNumber"/>
      </w:pPr>
      <w:r>
        <w:rPr>
          <w:b/>
        </w:rPr>
        <w:t xml:space="preserve">H4 — Heterogeneity: </w:t>
      </w:r>
      <w:r>
        <w:t>Drift may vary with active sequence length, VPN/non-VPN label, application label, confidence, and capture source. These are prespecified subgroup analyses, not presumed mechanisms.</w:t>
      </w:r>
    </w:p>
    <w:p>
      <w:r>
        <w:t>Primary estimands: (i) the paired change in predictive metrics between FP32 and each INT8 variant; (ii) per-flow attribution distance between FP32 and each INT8 variant using one common primary explainer; (iii) prediction disagreement rate between FP32 and each INT8 variant. Report effect sizes and confidence intervals, not only p-values.</w:t>
      </w:r>
    </w:p>
    <w:p>
      <w:pPr>
        <w:pStyle w:val="Heading1"/>
      </w:pPr>
      <w:r>
        <w:t>3. Dataset and provenance</w:t>
      </w:r>
    </w:p>
    <w:p>
      <w:r>
        <w:t>Use the ISCX VPN-NonVPN 2016 corpus as the initial benchmark. Before processing, create a manifest of every input capture with filename, byte size, SHA-256 hash, capture-level label metadata, and any known application/VPN labels. Record the dataset source and version. Do not state the corpus size, flow count, or class counts until the fresh pipeline has computed and validated them.</w:t>
      </w:r>
    </w:p>
    <w:p>
      <w:r>
        <w:t>Required provenance checks:</w:t>
      </w:r>
    </w:p>
    <w:p>
      <w:pPr>
        <w:pStyle w:val="ListBullet"/>
      </w:pPr>
      <w:r>
        <w:t>Verify that every capture is readable and record malformed, unsupported, or truncated files.</w:t>
      </w:r>
    </w:p>
    <w:p>
      <w:pPr>
        <w:pStyle w:val="ListBullet"/>
      </w:pPr>
      <w:r>
        <w:t>Define how application labels and VPN/non-VPN labels are mapped from capture metadata; keep the mapping in a version-controlled file.</w:t>
      </w:r>
    </w:p>
    <w:p>
      <w:pPr>
        <w:pStyle w:val="ListBullet"/>
      </w:pPr>
      <w:r>
        <w:t>Document whether timestamps are absolute or relative and how capture clock anomalies are handled.</w:t>
      </w:r>
    </w:p>
    <w:p>
      <w:pPr>
        <w:pStyle w:val="ListBullet"/>
      </w:pPr>
      <w:r>
        <w:t>Keep a flow-level audit table containing capture ID, flow key, label(s), packet count, active length, and exclusion reason, but do not include raw endpoint identifiers in public reports.</w:t>
      </w:r>
    </w:p>
    <w:p>
      <w:pPr>
        <w:pStyle w:val="ListBullet"/>
      </w:pPr>
      <w:r>
        <w:t>Publish aggregate counts at each stage: captures → parsed packets → eligible packets → candidate flows → valid flows → split membership.</w:t>
      </w:r>
    </w:p>
    <w:p>
      <w:pPr>
        <w:pStyle w:val="Heading1"/>
      </w:pPr>
      <w:r>
        <w:t>4. Flow construction and leakage prevention</w:t>
      </w:r>
    </w:p>
    <w:p>
      <w:r>
        <w:t>Parse TCP and UDP packets. Construct bidirectional flows using a canonical pair of complete endpoints: each endpoint is (IP address, transport port), and the two endpoint tuples are compared lexicographically as pairs. Do not independently sort addresses and ports. Use the protocol as part of the flow key. Use a prespecified 120-second inactivity timeout as the initial rule; run a sensitivity analysis at alternative timeout values only if feasible and report it separately.</w:t>
      </w:r>
    </w:p>
    <w:p>
      <w:r>
        <w:t>Define direction consistently: the source endpoint of the first eligible packet in a flow is the initiator (+1); packets from the opposite endpoint are responders (-1). Sort packets by timestamp within each flow. Handle equal timestamps with a deterministic tie-breaker (capture packet index). Document fragmentation, retransmissions, duplicate packets, and non-IP packets; do not silently change the handling between runs.</w:t>
      </w:r>
    </w:p>
    <w:p>
      <w:r>
        <w:t>Split by capture/session groups, not by randomly assigning individual flows alone. Related flows from the same capture or acquisition session must not leak across training, validation, and test sets. If labels are attached to capture files, use a group-aware stratification strategy where possible. If the dataset structure makes a fully group-disjoint, class-stratified split impossible, disclose the constraint and define a secondary stricter generalization split.</w:t>
      </w:r>
    </w:p>
    <w:p>
      <w:pPr>
        <w:pStyle w:val="Heading1"/>
      </w:pPr>
      <w:r>
        <w:t>5. Feature definition: freeze it before training</w:t>
      </w:r>
    </w:p>
    <w:p>
      <w:r>
        <w:t>Represent each flow as X ∈ R^(2×64), using the first 64 eligible packets after sorting. The two channels are directional IP packet length and inter-arrival time. The packet-feature implementation must match these definitions exactly; unit tests should cover boundary values, reverse direction, zero IAT, long IAT, short flows, and padding.</w:t>
      </w:r>
    </w:p>
    <w:p>
      <w:pPr>
        <w:pStyle w:val="Heading2"/>
      </w:pPr>
      <w:r>
        <w:t>5.1 Channel 0 — signed normalized IP packet length</w:t>
      </w:r>
    </w:p>
    <w:p>
      <w:r>
        <w:t>Let P_t be the IP packet length in bytes taken from the parsed IP header (not Ethernet frame length, not application payload length, and not the MTU itself). Let d_t = +1 for initiator-to-responder and −1 for responder-to-initiator. Define:</w:t>
      </w:r>
    </w:p>
    <w:p>
      <w:r>
        <w:t>X[0,t] = d_t × min(P_t, 1500) / 1500.</w:t>
      </w:r>
    </w:p>
    <w:p>
      <w:r>
        <w:t>This feature is clipped to [−1, 1]. Record how IPv4/IPv6 headers, fragments, and malformed length fields are handled. The choice of IP packet length is deliberate because Ethernet framing and capture configuration can change observed frame length.</w:t>
      </w:r>
    </w:p>
    <w:p>
      <w:pPr>
        <w:pStyle w:val="Heading2"/>
      </w:pPr>
      <w:r>
        <w:t>5.2 Channel 1 — normalized log inter-arrival time</w:t>
      </w:r>
    </w:p>
    <w:p>
      <w:r>
        <w:t>Let ΔT_0 = 0. For t &gt; 0, ΔT_t = max(0, timestamp_t − timestamp_(t−1)) seconds. Clip at 5 seconds and normalize using the same base in numerator and denominator:</w:t>
      </w:r>
    </w:p>
    <w:p>
      <w:r>
        <w:t>X[1,t] = ln(1 + min(ΔT_t, 5)) / ln(6).</w:t>
      </w:r>
    </w:p>
    <w:p>
      <w:r>
        <w:t>The range is [0, 1]. This is a new, explicit specification for the fresh implementation; do not reuse an old tensor cache unless it is verified to follow this exact formula.</w:t>
      </w:r>
    </w:p>
    <w:p>
      <w:pPr>
        <w:pStyle w:val="Heading2"/>
      </w:pPr>
      <w:r>
        <w:t>5.3 Padding and masks</w:t>
      </w:r>
    </w:p>
    <w:p>
      <w:r>
        <w:t>For flows with fewer than 64 packets, right-pad both channels with zero. Store a separate validity mask M_t = 1 for observed packets and 0 for padding, and store active length L = sum(M_t). Explanations and temporal summaries must exclude padded positions. A real packet can legitimately have a zero-valued feature, so padding must never be inferred from feature values alone.</w:t>
      </w:r>
    </w:p>
    <w:p>
      <w:pPr>
        <w:pStyle w:val="Heading1"/>
      </w:pPr>
      <w:r>
        <w:t>6. Split design and class imbalance</w:t>
      </w:r>
    </w:p>
    <w:p>
      <w:r>
        <w:t>Create one frozen, group-aware split before model development. A starting target is 70% train, 15% validation, and 15% test, subject to capture-group constraints. Save split IDs and hashes. Use training data only to fit model parameters. Use validation data for early stopping, threshold selection, and model selection. Use test data once for final evaluation.</w:t>
      </w:r>
    </w:p>
    <w:p>
      <w:r>
        <w:t>The primary test set should retain the natural class distribution to represent benchmark prevalence. Also create a prespecified balanced test subset for class-balanced attribution comparisons, sampled with a fixed seed and reported as a secondary analysis. Never describe a balanced subset as the full test set. Report counts by class, capture, and application for each split.</w:t>
      </w:r>
    </w:p>
    <w:p>
      <w:r>
        <w:t>For class imbalance, start with weighted binary cross-entropy, where the positive-class weight is calculated only from the training split. Compare against an unweighted baseline as a sensitivity analysis. Select the operating threshold on validation data; do not assume 0.5 is optimal and do not tune a threshold on the test set.</w:t>
      </w:r>
    </w:p>
    <w:p>
      <w:pPr>
        <w:pStyle w:val="Heading1"/>
      </w:pPr>
      <w:r>
        <w:t>7. Model and training protocol</w:t>
      </w:r>
    </w:p>
    <w:p>
      <w:r>
        <w:t>Use one compact 1D-CNN architecture for all model variants. Record the exact layer definitions, parameter count, trainable parameter count, and checkpoint hash. Keep the architecture, split, preprocessing, and initial FP32 checkpoint fixed when comparing quantization methods.</w:t>
      </w:r>
    </w:p>
    <w:p>
      <w:r>
        <w:t>Recommended training controls:</w:t>
      </w:r>
    </w:p>
    <w:p>
      <w:pPr>
        <w:pStyle w:val="ListBullet"/>
      </w:pPr>
      <w:r>
        <w:t>Set and record Python, NumPy, and PyTorch seeds; record hardware, library versions, and deterministic settings.</w:t>
      </w:r>
    </w:p>
    <w:p>
      <w:pPr>
        <w:pStyle w:val="ListBullet"/>
      </w:pPr>
      <w:r>
        <w:t>Train the FP32 baseline using AdamW, a prespecified learning-rate schedule, batch size, maximum epoch count, and early-stopping rule. Save the best validation checkpoint, not automatically the last epoch.</w:t>
      </w:r>
    </w:p>
    <w:p>
      <w:pPr>
        <w:pStyle w:val="ListBullet"/>
      </w:pPr>
      <w:r>
        <w:t>Run at least five independent seeds for the complete training/quantization pipeline if compute permits. If only one seed is feasible, label the results preliminary and avoid claims about run-to-run stability.</w:t>
      </w:r>
    </w:p>
    <w:p>
      <w:pPr>
        <w:pStyle w:val="ListBullet"/>
      </w:pPr>
      <w:r>
        <w:t>Keep test data inaccessible to training, calibration, hyperparameter selection, and threshold tuning.</w:t>
      </w:r>
    </w:p>
    <w:p>
      <w:pPr>
        <w:pStyle w:val="ListBullet"/>
      </w:pPr>
      <w:r>
        <w:t>Save per-epoch train/validation loss and metrics, selected epoch, configuration, environment information, and checkpoint hash.</w:t>
      </w:r>
    </w:p>
    <w:p>
      <w:pPr>
        <w:pStyle w:val="Heading1"/>
      </w:pPr>
      <w:r>
        <w:t>8. Quantization experiment</w:t>
      </w:r>
    </w:p>
    <w:p>
      <w:r>
        <w:t>Compare three models derived from the same split: (A) FP32 baseline; (B) static INT8 post-training quantization (PTQ) applied to the selected FP32 checkpoint; and (C) INT8 quantization-aware training (QAT), initialized from the same FP32 checkpoint. State the supported backend and the exact quantized operators. Do not assume that every operation is executed in INT8; inspect the converted graph and document float fallbacks.</w:t>
      </w:r>
    </w:p>
    <w:p>
      <w:pPr>
        <w:pStyle w:val="Heading2"/>
      </w:pPr>
      <w:r>
        <w:t>8.1 PTQ calibration</w:t>
      </w:r>
    </w:p>
    <w:p>
      <w:r>
        <w:t>Use a calibration subset drawn only from training data, with no overlap with validation or test data. Fix and save the calibration flow IDs. The primary calibration condition should reflect the training distribution; a class-balanced calibration subset should be a separate sensitivity condition. Compare these conditions because calibration composition can change observed activation ranges. Record the observer type separately for activations and weights, qscheme, per-tensor/per-channel settings, scale, zero-point, backend, and conversion warnings.</w:t>
      </w:r>
    </w:p>
    <w:p>
      <w:pPr>
        <w:pStyle w:val="Heading2"/>
      </w:pPr>
      <w:r>
        <w:t>8.2 QAT</w:t>
      </w:r>
    </w:p>
    <w:p>
      <w:r>
        <w:t>Insert fake-quantization modules using a documented backend-compatible QAT configuration. Fine-tune the FP32 checkpoint with a prespecified schedule and validation-based checkpoint selection. Choose the number of epochs in the experiment plan before running the final comparison; do not change it after viewing test outcomes. Convert the selected QAT model to actual quantized inference and evaluate that converted model, not only the fake-quant training model.</w:t>
      </w:r>
    </w:p>
    <w:p>
      <w:pPr>
        <w:pStyle w:val="Heading2"/>
      </w:pPr>
      <w:r>
        <w:t>8.3 What counts as quantization drift?</w:t>
      </w:r>
    </w:p>
    <w:p>
      <w:r>
        <w:t>For every test flow, record:</w:t>
      </w:r>
    </w:p>
    <w:p>
      <w:pPr>
        <w:pStyle w:val="ListBullet"/>
      </w:pPr>
      <w:r>
        <w:t>FP32 and INT8 logits and predicted probabilities, with the same class definition.</w:t>
      </w:r>
    </w:p>
    <w:p>
      <w:pPr>
        <w:pStyle w:val="ListBullet"/>
      </w:pPr>
      <w:r>
        <w:t>Prediction agreement and prediction-flip indicator.</w:t>
      </w:r>
    </w:p>
    <w:p>
      <w:pPr>
        <w:pStyle w:val="ListBullet"/>
      </w:pPr>
      <w:r>
        <w:t>Absolute logit difference and absolute probability difference.</w:t>
      </w:r>
    </w:p>
    <w:p>
      <w:pPr>
        <w:pStyle w:val="ListBullet"/>
      </w:pPr>
      <w:r>
        <w:t>Task-metric differences between FP32, PTQ, and QAT.</w:t>
      </w:r>
    </w:p>
    <w:p>
      <w:pPr>
        <w:pStyle w:val="ListBullet"/>
      </w:pPr>
      <w:r>
        <w:t>Model file size and, separately, raw weight storage and total serialized artifact size.</w:t>
      </w:r>
    </w:p>
    <w:p>
      <w:r>
        <w:t>Do not call a change in explanation alone 'model drift'. Report predictive drift and attribution drift as separate outcome families.</w:t>
      </w:r>
    </w:p>
    <w:p>
      <w:pPr>
        <w:pStyle w:val="Heading1"/>
      </w:pPr>
      <w:r>
        <w:t>9. Predictive evaluation</w:t>
      </w:r>
    </w:p>
    <w:p>
      <w:r>
        <w:t>On the untouched natural-distribution test set, report confusion matrix, per-class precision/recall/F1, macro-F1, balanced accuracy, PR-AUC, ROC-AUC, and prediction-flip rate. Include confidence intervals. For probabilistic outputs, additionally report Brier score and a calibration measure such as expected calibration error, with the binning rule fixed in advance. Report the threshold selected on validation data.</w:t>
      </w:r>
    </w:p>
    <w:p>
      <w:r>
        <w:t>Report paired differences (INT8 minus FP32) because the models are evaluated on the same flows. Include absolute values as well as relative changes; relative percentage changes can be misleading when the baseline metric is small.</w:t>
      </w:r>
    </w:p>
    <w:p>
      <w:pPr>
        <w:pStyle w:val="Heading1"/>
      </w:pPr>
      <w:r>
        <w:t>10. Attribution evaluation: isolate the quantization effect</w:t>
      </w:r>
    </w:p>
    <w:p>
      <w:r>
        <w:t>Use one model-agnostic, perturbation-based explainer as the primary attribution method so the same algorithm can query FP32, PTQ, and converted QAT models. KernelSHAP is a candidate, but its approximation settings, feature grouping, masking semantics, background/reference distribution, random seed, and number of samples must be fixed and saved. Use the same test flows and identical explainer settings for all model variants.</w:t>
      </w:r>
    </w:p>
    <w:p>
      <w:r>
        <w:t>A zero baseline is not automatically neutral: zero means a particular synthetic packet sequence under this representation. Use a training-derived background distribution as the primary reference, and evaluate the all-zero baseline as a sensitivity analysis. Define whether perturbations operate on individual channel-time features or grouped packet features. Avoid generating impossible feature combinations where practical, and disclose the limitations of the masking scheme.</w:t>
      </w:r>
    </w:p>
    <w:p>
      <w:r>
        <w:t>Integrated Gradients may be included as a secondary analysis on differentiable FP32 and fake-quant/STE models. State clearly that gradients through an STE surrogate explain that surrogate's gradient behaviour, not the exact discrete integer inference function. Do not use IG-versus-SHAP differences as evidence of quantization drift; compare FP32 versus INT8 within the same explainer first.</w:t>
      </w:r>
    </w:p>
    <w:p>
      <w:pPr>
        <w:pStyle w:val="Heading2"/>
      </w:pPr>
      <w:r>
        <w:t>10.1 Attribution metrics</w:t>
      </w:r>
    </w:p>
    <w:p>
      <w:pPr>
        <w:pStyle w:val="ListBullet"/>
      </w:pPr>
      <w:r>
        <w:t>Top-k feature IoU: J_k = |A_k ∩ B_k| / |A_k ∪ B_k|, where A_k and B_k are the top-k features ranked by absolute attribution. Define tie handling and k in advance.</w:t>
      </w:r>
    </w:p>
    <w:p>
      <w:pPr>
        <w:pStyle w:val="ListBullet"/>
      </w:pPr>
      <w:r>
        <w:t>Rank agreement: Spearman correlation between absolute-attribution ranks, with a documented tie method.</w:t>
      </w:r>
    </w:p>
    <w:p>
      <w:pPr>
        <w:pStyle w:val="ListBullet"/>
      </w:pPr>
      <w:r>
        <w:t>Attribution-mass distance: convert absolute attributions to distributions a_j = |φ_j| / sum_l |φ_l| and b_j similarly; report total variation distance TV = 0.5 × sum_j |a_j − b_j|, which lies in [0,1]. Handle zero-sum vectors explicitly.</w:t>
      </w:r>
    </w:p>
    <w:p>
      <w:pPr>
        <w:pStyle w:val="ListBullet"/>
      </w:pPr>
      <w:r>
        <w:t>Signed attribution agreement: report separately, for example sign agreement on features selected by either model. Do not infer sign agreement from absolute-value rankings.</w:t>
      </w:r>
    </w:p>
    <w:p>
      <w:pPr>
        <w:pStyle w:val="ListBullet"/>
      </w:pPr>
      <w:r>
        <w:t>Temporal attribution profile: aggregate absolute attribution by packet index using only valid packets. Report early/late windows as index-based bins, not as confirmed handshake/application protocol phases.</w:t>
      </w:r>
    </w:p>
    <w:p>
      <w:r>
        <w:t>Choose one primary attribution endpoint (recommended: per-flow total-variation distance or top-k IoU) before looking at final results. Treat other metrics as complementary secondary outcomes. Compute attribution drift per flow first; do not compare only cohort-average attribution vectors.</w:t>
      </w:r>
    </w:p>
    <w:p>
      <w:pPr>
        <w:pStyle w:val="Heading1"/>
      </w:pPr>
      <w:r>
        <w:t>11. Temporal and application subgroup analysis</w:t>
      </w:r>
    </w:p>
    <w:p>
      <w:r>
        <w:t>Define early and late packet-index windows before analysis. A workable primary definition is early indices 0–3 and late indices 4–63, restricted to valid packets; this is an observational index split only. Also test alternative cut points (for example 0–5 versus 6 onward) as sensitivity analyses, clearly labeled. Do not call these windows a TLS handshake or cryptographic phase unless packet-level protocol-state evidence has independently validated that interpretation.</w:t>
      </w:r>
    </w:p>
    <w:p>
      <w:r>
        <w:t>For application-level results, publish the exact label mapping and counts per split. Report subgroup sample size, mean/median drift, uncertainty interval, and dispersion. Mark very small groups as descriptive only; avoid causal or mechanistic explanations from a handful of flows. Aggregate category labels only when the mapping is defined before examining outcomes.</w:t>
      </w:r>
    </w:p>
    <w:p>
      <w:pPr>
        <w:pStyle w:val="Heading1"/>
      </w:pPr>
      <w:r>
        <w:t>12. Statistical analysis plan</w:t>
      </w:r>
    </w:p>
    <w:p>
      <w:r>
        <w:t>Use paired comparisons because each model variant is evaluated on the same flows. Use a capture/session-cluster bootstrap to account for dependence among flows from the same capture; resample groups, not individual flows, where the split structure supports it. Report 95% confidence intervals and the number of independent groups. If a paired test is used, prespecify the test and verify its assumptions.</w:t>
      </w:r>
    </w:p>
    <w:p>
      <w:r>
        <w:t>For subgroup modelling, specify the model before fitting. If testing whether drift differs by VPN label and active length, include the interaction explicitly, e.g. drift_i = β0 + β1 L_i + β2 VPN_i + β3(L_i × VPN_i) + ε_i. Use capture-clustered standard errors or an appropriate mixed-effects model. Do not claim an interaction if the fitted model contains only additive terms. Inspect residuals, influential points, nonlinearity, and outcome bounds; use robust or alternative models as sensitivity checks.</w:t>
      </w:r>
    </w:p>
    <w:p>
      <w:r>
        <w:t>Correct for multiple comparisons across secondary metrics and subgroup tests (e.g., Benjamini–Hochberg false-discovery-rate control). Distinguish confirmatory primary analyses from exploratory analyses. Report effect sizes and confidence intervals even when results are not statistically significant.</w:t>
      </w:r>
    </w:p>
    <w:p>
      <w:pPr>
        <w:pStyle w:val="Heading1"/>
      </w:pPr>
      <w:r>
        <w:t>13. Robustness and ablation checks</w:t>
      </w:r>
    </w:p>
    <w:p>
      <w:pPr>
        <w:pStyle w:val="ListBullet"/>
      </w:pPr>
      <w:r>
        <w:t>At least five training seeds where feasible; report per-seed results and aggregated uncertainty.</w:t>
      </w:r>
    </w:p>
    <w:p>
      <w:pPr>
        <w:pStyle w:val="ListBullet"/>
      </w:pPr>
      <w:r>
        <w:t>Natural-distribution versus balanced calibration subset for PTQ.</w:t>
      </w:r>
    </w:p>
    <w:p>
      <w:pPr>
        <w:pStyle w:val="ListBullet"/>
      </w:pPr>
      <w:r>
        <w:t>Training-derived background versus all-zero explainer baseline.</w:t>
      </w:r>
    </w:p>
    <w:p>
      <w:pPr>
        <w:pStyle w:val="ListBullet"/>
      </w:pPr>
      <w:r>
        <w:t>Primary temporal boundary versus alternative boundary.</w:t>
      </w:r>
    </w:p>
    <w:p>
      <w:pPr>
        <w:pStyle w:val="ListBullet"/>
      </w:pPr>
      <w:r>
        <w:t>Natural test set versus balanced secondary test subset.</w:t>
      </w:r>
    </w:p>
    <w:p>
      <w:pPr>
        <w:pStyle w:val="ListBullet"/>
      </w:pPr>
      <w:r>
        <w:t>Sequence-length-stratified analysis and, if possible, length-matched comparisons between VPN and non-VPN flows.</w:t>
      </w:r>
    </w:p>
    <w:p>
      <w:pPr>
        <w:pStyle w:val="ListBullet"/>
      </w:pPr>
      <w:r>
        <w:t>Explainer approximation stability: rerun a subset with multiple explainer seeds/sample budgets and quantify explainer noise separately from model-to-model drift.</w:t>
      </w:r>
    </w:p>
    <w:p>
      <w:pPr>
        <w:pStyle w:val="ListBullet"/>
      </w:pPr>
      <w:r>
        <w:t>Check whether attribution differences persist among flows whose FP32 and INT8 predicted class agrees; separately analyze prediction-flipped flows.</w:t>
      </w:r>
    </w:p>
    <w:p>
      <w:pPr>
        <w:pStyle w:val="Heading1"/>
      </w:pPr>
      <w:r>
        <w:t>14. Hardware and deployment measurements (secondary)</w:t>
      </w:r>
    </w:p>
    <w:p>
      <w:r>
        <w:t>If deployment efficiency is studied, benchmark separately from attribution experiments. Record device/CPU model, operating system, runtime/backend versions, thread count, batch size, warm-up count, timed repetitions, and input shape. Report median and 95th-percentile latency, throughput, peak memory where measurable, model artifact size, and the exact inference path. Do not describe a desktop CPU benchmark as evidence of performance on an embedded device.</w:t>
      </w:r>
    </w:p>
    <w:p>
      <w:pPr>
        <w:pStyle w:val="Heading1"/>
      </w:pPr>
      <w:r>
        <w:t>15. Operational security implications: hypothesis, not result</w:t>
      </w:r>
    </w:p>
    <w:p>
      <w:r>
        <w:t>Attribution drift does not by itself prove that an IDS/SOAR rule becomes incorrect or that an attacker can evade it. Treat operational consequences as a separate future experiment. To test a claim about rule quality, specify a rule-generation algorithm, generate rules from FP32 and INT8 explanations, evaluate them on a held-out traffic set, and measure false positives, false negatives, coverage, and evasion under a clearly defined threat model. Do not claim successful padding evasion unless packet modifications are implemented and tested while preserving protocol validity.</w:t>
      </w:r>
    </w:p>
    <w:p>
      <w:pPr>
        <w:pStyle w:val="Heading1"/>
      </w:pPr>
      <w:r>
        <w:t>16. Reproducibility package and stop/go gates</w:t>
      </w:r>
    </w:p>
    <w:p>
      <w:r>
        <w:t>Before reporting any result, archive:</w:t>
      </w:r>
    </w:p>
    <w:p>
      <w:pPr>
        <w:pStyle w:val="ListBullet"/>
      </w:pPr>
      <w:r>
        <w:t>Dataset manifest, label mapping, exclusion log, flow-level metadata, and frozen split IDs.</w:t>
      </w:r>
    </w:p>
    <w:p>
      <w:pPr>
        <w:pStyle w:val="ListBullet"/>
      </w:pPr>
      <w:r>
        <w:t>Preprocessing unit tests and feature-definition document.</w:t>
      </w:r>
    </w:p>
    <w:p>
      <w:pPr>
        <w:pStyle w:val="ListBullet"/>
      </w:pPr>
      <w:r>
        <w:t>Configuration files, source commit hash, environment lockfile, random seeds, and hardware/runtime metadata.</w:t>
      </w:r>
    </w:p>
    <w:p>
      <w:pPr>
        <w:pStyle w:val="ListBullet"/>
      </w:pPr>
      <w:r>
        <w:t>FP32/PTQ/QAT checkpoints and hashes; quantization configuration and converted graph/operator audit.</w:t>
      </w:r>
    </w:p>
    <w:p>
      <w:pPr>
        <w:pStyle w:val="ListBullet"/>
      </w:pPr>
      <w:r>
        <w:t>Per-flow prediction outputs and attribution vectors, with stable anonymized flow IDs.</w:t>
      </w:r>
    </w:p>
    <w:p>
      <w:pPr>
        <w:pStyle w:val="ListBullet"/>
      </w:pPr>
      <w:r>
        <w:t>Analysis scripts that regenerate every table and figure from saved outputs.</w:t>
      </w:r>
    </w:p>
    <w:p>
      <w:pPr>
        <w:pStyle w:val="ListBullet"/>
      </w:pPr>
      <w:r>
        <w:t>A result ledger linking each manuscript number to a script, input artifact, and output file.</w:t>
      </w:r>
    </w:p>
    <w:p>
      <w:r>
        <w:t>Stop/go gates:</w:t>
      </w:r>
    </w:p>
    <w:p>
      <w:pPr>
        <w:pStyle w:val="ListNumber"/>
      </w:pPr>
      <w:r>
        <w:rPr>
          <w:b/>
        </w:rPr>
        <w:t xml:space="preserve">Gate 1 — Data: </w:t>
      </w:r>
      <w:r>
        <w:t>All capture counts, labels, flow counts, and split counts reconcile; no group leakage is detected.</w:t>
      </w:r>
    </w:p>
    <w:p>
      <w:pPr>
        <w:pStyle w:val="ListNumber"/>
      </w:pPr>
      <w:r>
        <w:rPr>
          <w:b/>
        </w:rPr>
        <w:t xml:space="preserve">Gate 2 — Features: </w:t>
      </w:r>
      <w:r>
        <w:t>Unit tests confirm the exact length, IAT, direction, clipping, padding, and mask definitions.</w:t>
      </w:r>
    </w:p>
    <w:p>
      <w:pPr>
        <w:pStyle w:val="ListNumber"/>
      </w:pPr>
      <w:r>
        <w:rPr>
          <w:b/>
        </w:rPr>
        <w:t xml:space="preserve">Gate 3 — Models: </w:t>
      </w:r>
      <w:r>
        <w:t>FP32 metrics are reproducible across a rerun; checkpoint selection uses validation only.</w:t>
      </w:r>
    </w:p>
    <w:p>
      <w:pPr>
        <w:pStyle w:val="ListNumber"/>
      </w:pPr>
      <w:r>
        <w:rPr>
          <w:b/>
        </w:rPr>
        <w:t xml:space="preserve">Gate 4 — Quantization: </w:t>
      </w:r>
      <w:r>
        <w:t>PTQ/QAT conversion succeeds; actual operators, observers, and float fallbacks are documented.</w:t>
      </w:r>
    </w:p>
    <w:p>
      <w:pPr>
        <w:pStyle w:val="ListNumber"/>
      </w:pPr>
      <w:r>
        <w:rPr>
          <w:b/>
        </w:rPr>
        <w:t xml:space="preserve">Gate 5 — Attribution: </w:t>
      </w:r>
      <w:r>
        <w:t>The same test IDs, explainer, settings, and background protocol are used for each model comparison.</w:t>
      </w:r>
    </w:p>
    <w:p>
      <w:pPr>
        <w:pStyle w:val="ListNumber"/>
      </w:pPr>
      <w:r>
        <w:rPr>
          <w:b/>
        </w:rPr>
        <w:t xml:space="preserve">Gate 6 — Statistics: </w:t>
      </w:r>
      <w:r>
        <w:t>Primary outcomes, confidence intervals, subgroup counts, and all figures are regenerated automatically.</w:t>
      </w:r>
    </w:p>
    <w:p>
      <w:pPr>
        <w:pStyle w:val="ListNumber"/>
      </w:pPr>
      <w:r>
        <w:rPr>
          <w:b/>
        </w:rPr>
        <w:t xml:space="preserve">Gate 7 — Claims: </w:t>
      </w:r>
      <w:r>
        <w:t>Every statement in the paper is classified as measured result, interpretation, hypothesis, or limitation.</w:t>
      </w:r>
    </w:p>
    <w:p>
      <w:pPr>
        <w:pStyle w:val="Heading1"/>
      </w:pPr>
      <w:r>
        <w:t>17. Recommended order of execution</w:t>
      </w:r>
    </w:p>
    <w:p>
      <w:pPr>
        <w:pStyle w:val="ListNumber"/>
      </w:pPr>
      <w:r>
        <w:t>Freeze research questions, primary outcomes, split policy, feature formulas, and analysis plan in a dated protocol.</w:t>
      </w:r>
    </w:p>
    <w:p>
      <w:pPr>
        <w:pStyle w:val="ListNumber"/>
      </w:pPr>
      <w:r>
        <w:t>Build the dataset manifest and label mapping; validate flow extraction independently.</w:t>
      </w:r>
    </w:p>
    <w:p>
      <w:pPr>
        <w:pStyle w:val="ListNumber"/>
      </w:pPr>
      <w:r>
        <w:t>Generate and freeze group-aware train/validation/test IDs.</w:t>
      </w:r>
    </w:p>
    <w:p>
      <w:pPr>
        <w:pStyle w:val="ListNumber"/>
      </w:pPr>
      <w:r>
        <w:t>Implement and unit-test preprocessing; regenerate tensors from raw captures.</w:t>
      </w:r>
    </w:p>
    <w:p>
      <w:pPr>
        <w:pStyle w:val="ListNumber"/>
      </w:pPr>
      <w:r>
        <w:t>Train and evaluate FP32 across seeds; freeze the model-selection rule.</w:t>
      </w:r>
    </w:p>
    <w:p>
      <w:pPr>
        <w:pStyle w:val="ListNumber"/>
      </w:pPr>
      <w:r>
        <w:t>Create PTQ calibration subsets and run PTQ; audit the converted graph.</w:t>
      </w:r>
    </w:p>
    <w:p>
      <w:pPr>
        <w:pStyle w:val="ListNumber"/>
      </w:pPr>
      <w:r>
        <w:t>Run QAT from the same FP32 checkpoints and convert to integer inference.</w:t>
      </w:r>
    </w:p>
    <w:p>
      <w:pPr>
        <w:pStyle w:val="ListNumber"/>
      </w:pPr>
      <w:r>
        <w:t>Run predictive fidelity evaluation and save per-flow outputs.</w:t>
      </w:r>
    </w:p>
    <w:p>
      <w:pPr>
        <w:pStyle w:val="ListNumber"/>
      </w:pPr>
      <w:r>
        <w:t>Run the primary common explainer on identical test flows; quantify explainer noise on a subset.</w:t>
      </w:r>
    </w:p>
    <w:p>
      <w:pPr>
        <w:pStyle w:val="ListNumber"/>
      </w:pPr>
      <w:r>
        <w:t>Run prespecified temporal, application, length, and robustness analyses.</w:t>
      </w:r>
    </w:p>
    <w:p>
      <w:pPr>
        <w:pStyle w:val="ListNumber"/>
      </w:pPr>
      <w:r>
        <w:t>Run cluster-aware statistical analysis and regenerate tables/figures.</w:t>
      </w:r>
    </w:p>
    <w:p>
      <w:pPr>
        <w:pStyle w:val="ListNumber"/>
      </w:pPr>
      <w:r>
        <w:t>Only then draft conclusions and discuss deployment implications.</w:t>
      </w:r>
    </w:p>
    <w:p>
      <w:pPr>
        <w:pStyle w:val="Heading1"/>
      </w:pPr>
      <w:r>
        <w:t>18. What the study can and cannot conclude</w:t>
      </w:r>
    </w:p>
    <w:p>
      <w:r>
        <w:t>If the experiments show output changes after INT8 conversion, the study can quantify quantization-induced model drift for the specified architecture, dataset, backend, and calibration/training protocol. If the same explainer yields different attributions for FP32 and INT8 on the same inputs, the study can quantify attribution drift under that explainer protocol. It cannot establish that quantization always harms explanations, that all quantized models behave similarly, that a particular packet index is a cryptographic handshake, or that a real security control is bypassable unless those broader claims are tested directly.</w:t>
      </w:r>
    </w:p>
    <w:p>
      <w:pPr>
        <w:pStyle w:val="Heading1"/>
      </w:pPr>
      <w:r>
        <w:t>Plain-language answer: is there drift in quantization?</w:t>
      </w:r>
    </w:p>
    <w:p>
      <w:r>
        <w:t>Potentially, yes—but it must be measured. Quantization replaces high-precision numbers with lower-precision representations. That can make a model smaller and faster, but rounding and limited numeric range can slightly change its internal calculations. Sometimes the final prediction stays the same; sometimes confidence changes; occasionally the predicted class changes. Attribution drift is a different question: even when the prediction stays the same, the explanation of which packet features mattered may change. The real-world concern is that two models may make similar overall predictions while relying on different signals, which can affect debugging, auditing, or downstream security rules. This is a risk to test, not a guaranteed outcome.</w:t>
      </w:r>
    </w:p>
    <w:p>
      <w:pPr>
        <w:pStyle w:val="Heading1"/>
      </w:pPr>
      <w:r>
        <w:t>Reporting rule</w:t>
      </w:r>
    </w:p>
    <w:p>
      <w:r>
        <w:t>Do not copy any previously reported number into the new paper unless it is reproduced by this protocol and traceable to a frozen artifact. A clean restart means re-generating the data pipeline, splits, models, explanations, statistics, and tables—not just editing the manuscript.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XDrift — prospective methodology protocol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9375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9375A"/>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937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9375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