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</w:t>
      </w:r>
    </w:p>
    <w:p>
      <w:r>
        <w:t>The following table lists business requirements gathered during the discovery workshop.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BR1</w:t>
            </w:r>
          </w:p>
        </w:tc>
        <w:tc>
          <w:tcPr>
            <w:tcW w:type="dxa" w:w="4320"/>
          </w:tcPr>
          <w:p>
            <w:r>
              <w:t>The system must read invoice data from VW_INVOICE_HDR during the nightly batch job. Field "INVOICE_DATE" must be captured.</w:t>
            </w:r>
          </w:p>
        </w:tc>
      </w:tr>
      <w:tr>
        <w:tc>
          <w:tcPr>
            <w:tcW w:type="dxa" w:w="4320"/>
          </w:tcPr>
          <w:p>
            <w:r>
              <w:t>BR2</w:t>
            </w:r>
          </w:p>
        </w:tc>
        <w:tc>
          <w:tcPr>
            <w:tcW w:type="dxa" w:w="4320"/>
          </w:tcPr>
          <w:p>
            <w:r>
              <w:t>The system must expose a Java REST API for downstream posting systems to consume.</w:t>
            </w:r>
          </w:p>
        </w:tc>
      </w:tr>
    </w:tbl>
    <w:p>
      <w:r>
        <w:t>Additional context follows the requirements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A billing document issued to a customer.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