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Platform Notes</w:t>
      </w:r>
    </w:p>
    <w:p>
      <w:r>
        <w:t>The Invoice Service depends on the Payment Gateway to process customer transactions. New engineers must complete the onboarding checklist before they are granted production access. The Payment Gateway uses OAuth2 for authentication.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