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9" w:lineRule="auto"/>
        <w:ind w:left="0" w:firstLine="0"/>
        <w:jc w:val="center"/>
        <w:rPr>
          <w:rFonts w:ascii="Georgia" w:cs="Georgia" w:eastAsia="Georgia" w:hAnsi="Georgia"/>
          <w:b w:val="1"/>
          <w:color w:val="ffffff"/>
          <w:sz w:val="40"/>
          <w:szCs w:val="40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40"/>
          <w:szCs w:val="40"/>
          <w:highlight w:val="black"/>
          <w:rtl w:val="0"/>
        </w:rPr>
        <w:t xml:space="preserve">Francisco Lencina  y Nicolas Bruno</w:t>
      </w:r>
    </w:p>
    <w:p w:rsidR="00000000" w:rsidDel="00000000" w:rsidP="00000000" w:rsidRDefault="00000000" w:rsidRPr="00000000" w14:paraId="00000002">
      <w:pPr>
        <w:spacing w:after="160" w:line="279" w:lineRule="auto"/>
        <w:ind w:left="0" w:firstLine="0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Requerimientos:</w:t>
      </w:r>
    </w:p>
    <w:p w:rsidR="00000000" w:rsidDel="00000000" w:rsidP="00000000" w:rsidRDefault="00000000" w:rsidRPr="00000000" w14:paraId="00000003">
      <w:pPr>
        <w:spacing w:after="160" w:line="27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registrar los números de cada animal.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agregar nuevos animales con nuevos números.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eliminar el registro del animal adoptado una vez completada. la adopción.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7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registrar cada devolución en caso de arrepentimiento.</w:t>
      </w:r>
    </w:p>
    <w:p w:rsidR="00000000" w:rsidDel="00000000" w:rsidP="00000000" w:rsidRDefault="00000000" w:rsidRPr="00000000" w14:paraId="00000008">
      <w:pPr>
        <w:spacing w:after="160" w:line="27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No Funcionales: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del sistema y su respectivo registro deben estar bien asegurados.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ser apto para soportar una gran cantidad de animales y corrales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números de corrales no se pueden repetir.</w:t>
      </w:r>
    </w:p>
    <w:p w:rsidR="00000000" w:rsidDel="00000000" w:rsidP="00000000" w:rsidRDefault="00000000" w:rsidRPr="00000000" w14:paraId="0000000C">
      <w:pPr>
        <w:spacing w:after="160" w:line="27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de dominio: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refugio debe cumplir con la ley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Protección de Animales contra Actos de Crueldad</w:t>
      </w:r>
      <w:r w:rsidDel="00000000" w:rsidR="00000000" w:rsidRPr="00000000">
        <w:rPr>
          <w:sz w:val="24"/>
          <w:szCs w:val="24"/>
          <w:rtl w:val="0"/>
        </w:rPr>
        <w:t xml:space="preserve"> Nº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14.346.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cumplir con las estrictas normas de higiene impuestas por las autoridades competentes.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estar económicamente apta para pagar medicamentos, veterinarios, alimentos y el mantenimiento de los animales.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7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tener adoptantes evaluados y considerados aptos.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