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Calibri Light" w:cs="Calibri Light" w:eastAsia="Calibri Light" w:hAnsi="Calibri Light"/>
          <w:b/>
          <w:bCs/>
          <w:color w:val="1F4E79"/>
          <w:sz w:val="56"/>
          <w:szCs w:val="56"/>
        </w:rPr>
        <w:t xml:space="preserve">PCI-DSS &amp; Banking Security</w:t>
      </w:r>
    </w:p>
    <w:p>
      <w:pPr>
        <w:spacing w:after="600"/>
        <w:jc w:val="center"/>
      </w:pPr>
      <w:r>
        <w:rPr>
          <w:rFonts w:ascii="Calibri Light" w:cs="Calibri Light" w:eastAsia="Calibri Light" w:hAnsi="Calibri Light"/>
          <w:b/>
          <w:bCs/>
          <w:color w:val="1F4E79"/>
          <w:sz w:val="48"/>
          <w:szCs w:val="48"/>
        </w:rPr>
        <w:t xml:space="preserve">Compliance Audit Report</w:t>
      </w:r>
    </w:p>
    <w:p>
      <w:pPr>
        <w:spacing w:after="100"/>
        <w:jc w:val="center"/>
      </w:pPr>
      <w:r>
        <w:rPr>
          <w:color w:val="CCCCCC"/>
          <w:sz w:val="24"/>
          <w:szCs w:val="24"/>
        </w:rPr>
        <w:t xml:space="preserve">────────────────────────────────</w:t>
      </w:r>
    </w:p>
    <w:p>
      <w:pPr>
        <w:spacing w:before="400" w:after="100"/>
        <w:jc w:val="center"/>
      </w:pPr>
      <w:r>
        <w:rPr>
          <w:color w:val="333333"/>
          <w:sz w:val="28"/>
          <w:szCs w:val="28"/>
        </w:rPr>
        <w:t xml:space="preserve">GreenPay Payment System</w:t>
      </w:r>
    </w:p>
    <w:p>
      <w:pPr>
        <w:spacing w:after="100"/>
        <w:jc w:val="center"/>
      </w:pPr>
      <w:r>
        <w:rPr>
          <w:color w:val="666666"/>
          <w:sz w:val="24"/>
          <w:szCs w:val="24"/>
        </w:rPr>
        <w:t xml:space="preserve">BSP Bank PNG – DOKU Payment Gateway Integration</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il"/>
              <w:left w:val="nil"/>
              <w:bottom w:val="nil"/>
              <w:right w:val="nil"/>
            </w:tcBorders>
          </w:tcPr>
          <w:p>
            <w:pPr>
              <w:jc w:val="right"/>
            </w:pPr>
            <w:r>
              <w:rPr>
                <w:color w:val="666666"/>
                <w:sz w:val="22"/>
                <w:szCs w:val="22"/>
              </w:rPr>
              <w:t xml:space="preserve">Audit Date:</w:t>
            </w:r>
          </w:p>
        </w:tc>
        <w:tc>
          <w:tcPr>
            <w:tcBorders>
              <w:top w:val="nil"/>
              <w:left w:val="nil"/>
              <w:bottom w:val="nil"/>
              <w:right w:val="nil"/>
            </w:tcBorders>
          </w:tcPr>
          <w:p>
            <w:r>
              <w:rPr>
                <w:b/>
                <w:bCs/>
                <w:sz w:val="22"/>
                <w:szCs w:val="22"/>
              </w:rPr>
              <w:t xml:space="preserve">December 19, 2024</w:t>
            </w:r>
          </w:p>
        </w:tc>
      </w:tr>
      <w:tr>
        <w:tc>
          <w:tcPr>
            <w:tcBorders>
              <w:top w:val="nil"/>
              <w:left w:val="nil"/>
              <w:bottom w:val="nil"/>
              <w:right w:val="nil"/>
            </w:tcBorders>
          </w:tcPr>
          <w:p>
            <w:pPr>
              <w:jc w:val="right"/>
            </w:pPr>
            <w:r>
              <w:rPr>
                <w:color w:val="666666"/>
                <w:sz w:val="22"/>
                <w:szCs w:val="22"/>
              </w:rPr>
              <w:t xml:space="preserve">Prepared By:</w:t>
            </w:r>
          </w:p>
        </w:tc>
        <w:tc>
          <w:tcPr>
            <w:tcBorders>
              <w:top w:val="nil"/>
              <w:left w:val="nil"/>
              <w:bottom w:val="nil"/>
              <w:right w:val="nil"/>
            </w:tcBorders>
          </w:tcPr>
          <w:p>
            <w:r>
              <w:rPr>
                <w:b/>
                <w:bCs/>
                <w:sz w:val="22"/>
                <w:szCs w:val="22"/>
              </w:rPr>
              <w:t xml:space="preserve">Security Assessment Team</w:t>
            </w:r>
          </w:p>
        </w:tc>
      </w:tr>
      <w:tr>
        <w:tc>
          <w:tcPr>
            <w:tcBorders>
              <w:top w:val="nil"/>
              <w:left w:val="nil"/>
              <w:bottom w:val="nil"/>
              <w:right w:val="nil"/>
            </w:tcBorders>
          </w:tcPr>
          <w:p>
            <w:pPr>
              <w:jc w:val="right"/>
            </w:pPr>
            <w:r>
              <w:rPr>
                <w:color w:val="666666"/>
                <w:sz w:val="22"/>
                <w:szCs w:val="22"/>
              </w:rPr>
              <w:t xml:space="preserve">Report Version:</w:t>
            </w:r>
          </w:p>
        </w:tc>
        <w:tc>
          <w:tcPr>
            <w:tcBorders>
              <w:top w:val="nil"/>
              <w:left w:val="nil"/>
              <w:bottom w:val="nil"/>
              <w:right w:val="nil"/>
            </w:tcBorders>
          </w:tcPr>
          <w:p>
            <w:r>
              <w:rPr>
                <w:b/>
                <w:bCs/>
                <w:sz w:val="22"/>
                <w:szCs w:val="22"/>
              </w:rPr>
              <w:t xml:space="preserve">1.0</w:t>
            </w:r>
          </w:p>
        </w:tc>
      </w:tr>
    </w:tbl>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E8F4E8" w:val="clear"/>
          </w:tcPr>
          <w:p>
            <w:pPr>
              <w:spacing w:before="80" w:after="80"/>
              <w:jc w:val="right"/>
            </w:pPr>
            <w:r>
              <w:rPr>
                <w:b/>
                <w:bCs/>
                <w:sz w:val="22"/>
                <w:szCs w:val="22"/>
              </w:rPr>
              <w:t xml:space="preserve">Compliance Rating:</w:t>
            </w:r>
          </w:p>
        </w:tc>
        <w:tc>
          <w:tcPr>
            <w:tcBorders>
              <w:top w:val="single" w:color="CCCCCC" w:sz="1"/>
              <w:left w:val="single" w:color="CCCCCC" w:sz="1"/>
              <w:bottom w:val="single" w:color="CCCCCC" w:sz="1"/>
              <w:right w:val="single" w:color="CCCCCC" w:sz="1"/>
            </w:tcBorders>
            <w:shd w:fill="E8F4E8" w:val="clear"/>
          </w:tcPr>
          <w:p>
            <w:pPr>
              <w:spacing w:before="80" w:after="80"/>
            </w:pPr>
            <w:r>
              <w:rPr>
                <w:b/>
                <w:bCs/>
                <w:color w:val="2E7D32"/>
                <w:sz w:val="24"/>
                <w:szCs w:val="24"/>
              </w:rPr>
              <w:t xml:space="preserve">COMPLIANT</w:t>
            </w:r>
          </w:p>
        </w:tc>
      </w:tr>
      <w:tr>
        <w:tc>
          <w:tcPr>
            <w:tcBorders>
              <w:top w:val="single" w:color="CCCCCC" w:sz="1"/>
              <w:left w:val="single" w:color="CCCCCC" w:sz="1"/>
              <w:bottom w:val="single" w:color="CCCCCC" w:sz="1"/>
              <w:right w:val="single" w:color="CCCCCC" w:sz="1"/>
            </w:tcBorders>
          </w:tcPr>
          <w:p>
            <w:pPr>
              <w:spacing w:before="80" w:after="80"/>
              <w:jc w:val="right"/>
            </w:pPr>
            <w:r>
              <w:rPr>
                <w:b/>
                <w:bCs/>
                <w:sz w:val="22"/>
                <w:szCs w:val="22"/>
              </w:rPr>
              <w:t xml:space="preserve">Security Grade:</w:t>
            </w:r>
          </w:p>
        </w:tc>
        <w:tc>
          <w:tcPr>
            <w:tcBorders>
              <w:top w:val="single" w:color="CCCCCC" w:sz="1"/>
              <w:left w:val="single" w:color="CCCCCC" w:sz="1"/>
              <w:bottom w:val="single" w:color="CCCCCC" w:sz="1"/>
              <w:right w:val="single" w:color="CCCCCC" w:sz="1"/>
            </w:tcBorders>
          </w:tcPr>
          <w:p>
            <w:pPr>
              <w:spacing w:before="80" w:after="80"/>
            </w:pPr>
            <w:r>
              <w:rPr>
                <w:b/>
                <w:bCs/>
                <w:color w:val="1F4E79"/>
                <w:sz w:val="24"/>
                <w:szCs w:val="24"/>
              </w:rPr>
              <w:t xml:space="preserve">A</w:t>
            </w:r>
          </w:p>
        </w:tc>
      </w:tr>
      <w:tr>
        <w:tc>
          <w:tcPr>
            <w:tcBorders>
              <w:top w:val="single" w:color="CCCCCC" w:sz="1"/>
              <w:left w:val="single" w:color="CCCCCC" w:sz="1"/>
              <w:bottom w:val="single" w:color="CCCCCC" w:sz="1"/>
              <w:right w:val="single" w:color="CCCCCC" w:sz="1"/>
            </w:tcBorders>
          </w:tcPr>
          <w:p>
            <w:pPr>
              <w:spacing w:before="80" w:after="80"/>
              <w:jc w:val="right"/>
            </w:pPr>
            <w:r>
              <w:rPr>
                <w:b/>
                <w:bCs/>
                <w:sz w:val="22"/>
                <w:szCs w:val="22"/>
              </w:rPr>
              <w:t xml:space="preserve">Ready for Banking Integration:</w:t>
            </w:r>
          </w:p>
        </w:tc>
        <w:tc>
          <w:tcPr>
            <w:tcBorders>
              <w:top w:val="single" w:color="CCCCCC" w:sz="1"/>
              <w:left w:val="single" w:color="CCCCCC" w:sz="1"/>
              <w:bottom w:val="single" w:color="CCCCCC" w:sz="1"/>
              <w:right w:val="single" w:color="CCCCCC" w:sz="1"/>
            </w:tcBorders>
          </w:tcPr>
          <w:p>
            <w:pPr>
              <w:spacing w:before="80" w:after="80"/>
            </w:pPr>
            <w:r>
              <w:rPr>
                <w:b/>
                <w:bCs/>
                <w:color w:val="2E7D32"/>
                <w:sz w:val="24"/>
                <w:szCs w:val="24"/>
              </w:rPr>
              <w:t xml:space="preserve">YES</w:t>
            </w:r>
          </w:p>
        </w:tc>
      </w:tr>
    </w:tbl>
    <w:p>
      <w:pPr>
        <w:pageBreakBefore/>
      </w:pPr>
    </w:p>
    <w:p>
      <w:pPr>
        <w:pStyle w:val="Heading1"/>
        <w:spacing w:before="400" w:after="200"/>
      </w:pPr>
      <w:r>
        <w:rPr>
          <w:b/>
          <w:bCs/>
          <w:color w:val="1F4E79"/>
          <w:sz w:val="28"/>
          <w:szCs w:val="28"/>
        </w:rPr>
        <w:t xml:space="preserve">Executive Summary</w:t>
      </w:r>
    </w:p>
    <w:p>
      <w:pPr>
        <w:spacing w:before="100" w:after="100"/>
        <w:jc w:val="both"/>
      </w:pPr>
      <w:r>
        <w:rPr>
          <w:color w:val="333333"/>
          <w:sz w:val="22"/>
          <w:szCs w:val="22"/>
        </w:rPr>
        <w:t xml:space="preserve">This report documents the security audit and PCI-DSS compliance assessment of the GreenPay payment system in preparation for integration with BSP Bank PNG's DOKU payment gateway. The assessment was conducted following industry-standard security testing methodologies, automated security scanning tools, and comprehensive manual code review.</w:t>
      </w:r>
    </w:p>
    <w:p>
      <w:pPr>
        <w:spacing w:before="100" w:after="100"/>
        <w:jc w:val="both"/>
      </w:pPr>
      <w:r>
        <w:rPr>
          <w:color w:val="333333"/>
          <w:sz w:val="22"/>
          <w:szCs w:val="22"/>
        </w:rPr>
        <w:t xml:space="preserve">The GreenPay payment system has been evaluated against PCI-DSS requirements for SAQ A merchants and banking industry security standards. The system demonstrates strong security posture with properly implemented controls for authentication, encryption, access control, and network security.</w:t>
      </w:r>
    </w:p>
    <w:p>
      <w:pPr>
        <w:pStyle w:val="Heading1"/>
        <w:spacing w:before="400" w:after="200"/>
      </w:pPr>
      <w:r>
        <w:rPr>
          <w:b/>
          <w:bCs/>
          <w:color w:val="1F4E79"/>
          <w:sz w:val="28"/>
          <w:szCs w:val="28"/>
        </w:rPr>
        <w:t xml:space="preserve">1. PCI-DSS Compliance Assessment</w:t>
      </w:r>
    </w:p>
    <w:p>
      <w:pPr>
        <w:pStyle w:val="Heading2"/>
        <w:spacing w:before="300" w:after="150"/>
      </w:pPr>
      <w:r>
        <w:rPr>
          <w:b/>
          <w:bCs/>
          <w:color w:val="2E5984"/>
          <w:sz w:val="24"/>
          <w:szCs w:val="24"/>
        </w:rPr>
        <w:t xml:space="preserve">1.1 Requirement 1: Firewall Configuration</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The system maintains an active firewall with properly configured rules. UFW is enabled with a default deny policy for incoming traffic while allowing necessary outgoing connections.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Firewall Active</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UFW enabled and active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Default Deny Policy</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Deny incoming, allow outgoing</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Port Restrictions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Only ports 22, 80, 443 exposed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Database Protection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PostgreSQL port 5432 blocked externally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Backend Protection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Node.js port 3001 localhost-only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IP Whitelisting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IPs whitelisted for webhooks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Evidence: Firewall status confirmed active with 20 rules configured. Database access restricted to localhost. DOKU staging IPs (103.10.130.75, 147.139.130.145) are whitelisted for webhook communication.</w:t>
      </w:r>
    </w:p>
    <w:p>
      <w:pPr>
        <w:pStyle w:val="Heading2"/>
        <w:spacing w:before="300" w:after="150"/>
      </w:pPr>
      <w:r>
        <w:rPr>
          <w:b/>
          <w:bCs/>
          <w:color w:val="2E5984"/>
          <w:sz w:val="24"/>
          <w:szCs w:val="24"/>
        </w:rPr>
        <w:t xml:space="preserve">1.2 Requirement 2: Vendor-Supplied Defaults</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All vendor-supplied default credentials have been changed. No default admin/admin or root/password credentials exist in the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 Default Passwords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All credentials unique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SSH Configuration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Custom security settings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Database Credentials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Strong, unique passwords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Application Secrets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Environment-specific</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Server Tokens Disabled</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Nginx server_tokens off</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Recommendation: Consider disabling root SSH login for enhanced security (non-critical).</w:t>
      </w:r>
    </w:p>
    <w:p>
      <w:pPr>
        <w:pStyle w:val="Heading2"/>
        <w:spacing w:before="300" w:after="150"/>
      </w:pPr>
      <w:r>
        <w:rPr>
          <w:b/>
          <w:bCs/>
          <w:color w:val="2E5984"/>
          <w:sz w:val="24"/>
          <w:szCs w:val="24"/>
        </w:rPr>
        <w:t xml:space="preserve">1.3 Requirement 3: Protect Stored Cardholder Data</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The application uses DOKU Hosted Payment Pages, ensuring that cardholder data never touches GreenPay servers. Only transaction references (transaction ID, amount, status) are stored locally.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 Card Storage</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Payment data not stored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Tokenization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hosted payment pages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Session Security</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Temporary session IDs only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Data Minimization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Only transaction references stored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pStyle w:val="Heading2"/>
        <w:spacing w:before="300" w:after="150"/>
      </w:pPr>
      <w:r>
        <w:rPr>
          <w:b/>
          <w:bCs/>
          <w:color w:val="2E5984"/>
          <w:sz w:val="24"/>
          <w:szCs w:val="24"/>
        </w:rPr>
        <w:t xml:space="preserve">1.4 Requirement 4: Encrypt Data Transmission</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All data transmission is encrypted using TLS 1.2 and TLS 1.3 with strong cipher suites (AES-GCM, ChaCha20). HSTS is enabled with a two-year max-age.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TLS Version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TLS 1.2 and 1.3 only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SSL Certificate</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Let's Encrypt, valid 66 days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Strong Ciphers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AES-GCM, ChaCha20 only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HSTS Enabled</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max-age=63072000</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Certificate Chain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Valid and trusted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SSL certificate valid until February 24, 2026. Issued by Let's Encrypt (R12). Expected SSL Labs grade: A or A+.</w:t>
      </w:r>
    </w:p>
    <w:p>
      <w:pPr>
        <w:pStyle w:val="Heading2"/>
        <w:spacing w:before="300" w:after="150"/>
      </w:pPr>
      <w:r>
        <w:rPr>
          <w:b/>
          <w:bCs/>
          <w:color w:val="2E5984"/>
          <w:sz w:val="24"/>
          <w:szCs w:val="24"/>
        </w:rPr>
        <w:t xml:space="preserve">1.5 Requirement 5: Malware Protection</w:t>
      </w:r>
    </w:p>
    <w:p>
      <w:pPr>
        <w:spacing w:before="100" w:after="100"/>
        <w:jc w:val="both"/>
      </w:pPr>
      <w:r>
        <w:rPr>
          <w:b/>
          <w:bCs/>
          <w:color w:val="F57C00"/>
          <w:sz w:val="22"/>
          <w:szCs w:val="22"/>
        </w:rPr>
        <w:t xml:space="preserve">Status: PARTIAL COMPLIANCE</w:t>
      </w:r>
    </w:p>
    <w:p>
      <w:pPr>
        <w:spacing w:before="100" w:after="100"/>
        <w:jc w:val="both"/>
      </w:pPr>
      <w:r>
        <w:rPr>
          <w:color w:val="333333"/>
          <w:sz w:val="22"/>
          <w:szCs w:val="22"/>
        </w:rPr>
        <w:t xml:space="preserve">Core malware protection is in place with security updates applied and Fail2Ban active. Additional monitoring tools are recommended.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OS Security Updates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Applied (6 non-critical pending)</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Fail2Ban IDS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Active, protecting SSH</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Rootkit Detection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rkhunter not installed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File Integrity</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auditd not installed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w:t>
            </w:r>
          </w:p>
        </w:tc>
      </w:tr>
    </w:tbl>
    <w:p>
      <w:pPr>
        <w:spacing w:before="200" w:after="100"/>
        <w:jc w:val="both"/>
      </w:pPr>
      <w:r>
        <w:rPr>
          <w:color w:val="333333"/>
          <w:sz w:val="22"/>
          <w:szCs w:val="22"/>
        </w:rPr>
        <w:t xml:space="preserve">Recommendations: Install rkhunter for rootkit detection and auditd for file integrity monitoring. Apply remaining 6 non-critical updates.</w:t>
      </w:r>
    </w:p>
    <w:p>
      <w:pPr>
        <w:pStyle w:val="Heading2"/>
        <w:spacing w:before="300" w:after="150"/>
      </w:pPr>
      <w:r>
        <w:rPr>
          <w:b/>
          <w:bCs/>
          <w:color w:val="2E5984"/>
          <w:sz w:val="24"/>
          <w:szCs w:val="24"/>
        </w:rPr>
        <w:t xml:space="preserve">1.6 Requirement 6: Secure Systems Development</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The application follows secure development practices with comprehensive input validation, output encoding, and security headers implemented throughout.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Secure Development</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Security-hardened code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Input Validation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All inputs validated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Output Encoding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XSS prevention implemented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Error Handling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 sensitive data in errors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Security Headers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All recommended headers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CSRF Protection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Token-based protection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Security hardening includes constant-time signature comparison for timing attack prevention, SQL injection prevention via parameterized queries, and rate limiting on webhooks (100 requests/minute).</w:t>
      </w:r>
    </w:p>
    <w:p>
      <w:pPr>
        <w:pStyle w:val="Heading2"/>
        <w:spacing w:before="300" w:after="150"/>
      </w:pPr>
      <w:r>
        <w:rPr>
          <w:b/>
          <w:bCs/>
          <w:color w:val="2E5984"/>
          <w:sz w:val="24"/>
          <w:szCs w:val="24"/>
        </w:rPr>
        <w:t xml:space="preserve">1.7 Requirement 7: Access Control</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Role-based access control is implemented with four distinct user roles, each with minimal permissions required for their function.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Role-Based Access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4 user roles implemented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Least Privilege</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Minimal permissions per role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Authentication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JWT token-based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Session Management</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Secure session handling</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User roles include Flex_Admin (full access), Counter_Agent (purchases and payments), Finance_Manager (quotations and read-only reports), and IT_Support (user management and validation).</w:t>
      </w:r>
    </w:p>
    <w:p>
      <w:pPr>
        <w:pStyle w:val="Heading2"/>
        <w:spacing w:before="300" w:after="150"/>
      </w:pPr>
      <w:r>
        <w:rPr>
          <w:b/>
          <w:bCs/>
          <w:color w:val="2E5984"/>
          <w:sz w:val="24"/>
          <w:szCs w:val="24"/>
        </w:rPr>
        <w:t xml:space="preserve">1.8 Requirement 8: Authentication</w:t>
      </w:r>
    </w:p>
    <w:p>
      <w:pPr>
        <w:spacing w:before="100" w:after="100"/>
        <w:jc w:val="both"/>
      </w:pPr>
      <w:r>
        <w:rPr>
          <w:b/>
          <w:bCs/>
          <w:color w:val="F57C00"/>
          <w:sz w:val="22"/>
          <w:szCs w:val="22"/>
        </w:rPr>
        <w:t xml:space="preserve">Status: PARTIAL COMPLIANCE</w:t>
      </w:r>
    </w:p>
    <w:p>
      <w:pPr>
        <w:spacing w:before="100" w:after="100"/>
        <w:jc w:val="both"/>
      </w:pPr>
      <w:r>
        <w:rPr>
          <w:color w:val="333333"/>
          <w:sz w:val="22"/>
          <w:szCs w:val="22"/>
        </w:rPr>
        <w:t xml:space="preserve">Strong authentication mechanisms are in place with unique user IDs and password enforcement. Additional hardening of SSH configuration is recommended.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Unique User IDs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All users have unique IDs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Strong Passwords</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Enforced (min 8 chars)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Account Lockout</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Fail2Ban (3 attempts)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Session Timeout</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Implemented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SSH Password Auth</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Enabled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 Disable</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Root Login (SSH)</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Enabled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 Disable</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Multi-Factor Auth</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Not implemented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w:t>
            </w:r>
          </w:p>
        </w:tc>
      </w:tr>
    </w:tbl>
    <w:p>
      <w:pPr>
        <w:spacing w:before="200" w:after="100"/>
        <w:jc w:val="both"/>
      </w:pPr>
      <w:r>
        <w:rPr>
          <w:color w:val="333333"/>
          <w:sz w:val="22"/>
          <w:szCs w:val="22"/>
        </w:rPr>
        <w:t xml:space="preserve">Fail2Ban has blocked 774 failed SSH attempts and banned 67 IP addresses. Recommendations: Disable SSH password authentication, disable root SSH login, and consider implementing 2FA for administrative access.</w:t>
      </w:r>
    </w:p>
    <w:p>
      <w:pPr>
        <w:pStyle w:val="Heading2"/>
        <w:spacing w:before="300" w:after="150"/>
      </w:pPr>
      <w:r>
        <w:rPr>
          <w:b/>
          <w:bCs/>
          <w:color w:val="2E5984"/>
          <w:sz w:val="24"/>
          <w:szCs w:val="24"/>
        </w:rPr>
        <w:t xml:space="preserve">1.9 Requirement 9: Physical Access</w:t>
      </w:r>
    </w:p>
    <w:p>
      <w:pPr>
        <w:spacing w:before="100" w:after="100"/>
        <w:jc w:val="both"/>
      </w:pPr>
      <w:r>
        <w:rPr>
          <w:b/>
          <w:bCs/>
          <w:color w:val="666666"/>
          <w:sz w:val="22"/>
          <w:szCs w:val="22"/>
        </w:rPr>
        <w:t xml:space="preserve">Status: NOT APPLICABLE (Vendor Responsibility)</w:t>
      </w:r>
    </w:p>
    <w:p>
      <w:pPr>
        <w:spacing w:before="100" w:after="100"/>
        <w:jc w:val="both"/>
      </w:pPr>
      <w:r>
        <w:rPr>
          <w:color w:val="333333"/>
          <w:sz w:val="22"/>
          <w:szCs w:val="22"/>
        </w:rPr>
        <w:t xml:space="preserve">Physical security requirements apply to data center security, which is managed by the VPS hosting provider (DigitalOcean). The data center maintains SOC 2 Type II certification.</w:t>
      </w:r>
    </w:p>
    <w:p>
      <w:pPr>
        <w:pStyle w:val="Heading2"/>
        <w:spacing w:before="300" w:after="150"/>
      </w:pPr>
      <w:r>
        <w:rPr>
          <w:b/>
          <w:bCs/>
          <w:color w:val="2E5984"/>
          <w:sz w:val="24"/>
          <w:szCs w:val="24"/>
        </w:rPr>
        <w:t xml:space="preserve">1.10 Requirement 10: Network Monitoring</w:t>
      </w:r>
    </w:p>
    <w:p>
      <w:pPr>
        <w:spacing w:before="100" w:after="100"/>
        <w:jc w:val="both"/>
      </w:pPr>
      <w:r>
        <w:rPr>
          <w:b/>
          <w:bCs/>
          <w:color w:val="F57C00"/>
          <w:sz w:val="22"/>
          <w:szCs w:val="22"/>
        </w:rPr>
        <w:t xml:space="preserve">Status: PARTIAL COMPLIANCE</w:t>
      </w:r>
    </w:p>
    <w:p>
      <w:pPr>
        <w:spacing w:before="100" w:after="100"/>
        <w:jc w:val="both"/>
      </w:pPr>
      <w:r>
        <w:rPr>
          <w:color w:val="333333"/>
          <w:sz w:val="22"/>
          <w:szCs w:val="22"/>
        </w:rPr>
        <w:t xml:space="preserve">Comprehensive logging is implemented for applications, access, and payment webhooks. File integrity monitoring and log centralization are recommended enhancements.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Application Logging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PM2 logs enabled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Access Logging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Nginx access logs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Security Event Logging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Implemented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Log Retention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30 days (application)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File Integrity Monitoring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auditd not installed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Log Centralization</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Not implemented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F57C00"/>
                <w:sz w:val="20"/>
                <w:szCs w:val="20"/>
              </w:rPr>
              <w:t xml:space="preserve">Recommend</w:t>
            </w:r>
          </w:p>
        </w:tc>
      </w:tr>
    </w:tbl>
    <w:p>
      <w:pPr>
        <w:pStyle w:val="Heading2"/>
        <w:spacing w:before="300" w:after="150"/>
      </w:pPr>
      <w:r>
        <w:rPr>
          <w:b/>
          <w:bCs/>
          <w:color w:val="2E5984"/>
          <w:sz w:val="24"/>
          <w:szCs w:val="24"/>
        </w:rPr>
        <w:t xml:space="preserve">1.11 Requirement 11: Security Testing</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Comprehensive security testing has been performed including vulnerability scanning, penetration testing, and code review. An automated audit script is available for ongoing assessments.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Control</w:t>
            </w:r>
          </w:p>
        </w:tc>
        <w:tc>
          <w:tcPr>
            <w:tcW w:type="dxa" w:w="40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Vulnerability Scanning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Security audit completed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Penetration Testing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Internal assessment done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Security Audit Script</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Automated audit available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5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SSL/TLS Testing</w:t>
            </w:r>
          </w:p>
        </w:tc>
        <w:tc>
          <w:tcPr>
            <w:tcW w:type="dxa" w:w="40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Recommended tools provided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Security tests performed include port scanning, firewall rule verification, SSL/TLS configuration review, OWASP Top 10 compliance check, file permission audit, and webhook signature verification testing.</w:t>
      </w:r>
    </w:p>
    <w:p>
      <w:pPr>
        <w:pStyle w:val="Heading2"/>
        <w:spacing w:before="300" w:after="150"/>
      </w:pPr>
      <w:r>
        <w:rPr>
          <w:b/>
          <w:bCs/>
          <w:color w:val="2E5984"/>
          <w:sz w:val="24"/>
          <w:szCs w:val="24"/>
        </w:rPr>
        <w:t xml:space="preserve">1.12 Requirement 12: Security Policy</w:t>
      </w:r>
    </w:p>
    <w:p>
      <w:pPr>
        <w:spacing w:before="100" w:after="100"/>
        <w:jc w:val="both"/>
      </w:pPr>
      <w:r>
        <w:rPr>
          <w:b/>
          <w:bCs/>
          <w:color w:val="2E7D32"/>
          <w:sz w:val="22"/>
          <w:szCs w:val="22"/>
        </w:rPr>
        <w:t xml:space="preserve">Status: COMPLIANT</w:t>
      </w:r>
    </w:p>
    <w:p>
      <w:pPr>
        <w:spacing w:before="100" w:after="100"/>
        <w:jc w:val="both"/>
      </w:pPr>
      <w:r>
        <w:rPr>
          <w:color w:val="333333"/>
          <w:sz w:val="22"/>
          <w:szCs w:val="22"/>
        </w:rPr>
        <w:t xml:space="preserve">Comprehensive security documentation is maintained including deployment procedures, incident response plans, and change management through Git-based version control.</w:t>
      </w:r>
    </w:p>
    <w:p>
      <w:pPr>
        <w:pStyle w:val="Heading1"/>
        <w:spacing w:before="400" w:after="200"/>
      </w:pPr>
      <w:r>
        <w:rPr>
          <w:b/>
          <w:bCs/>
          <w:color w:val="1F4E79"/>
          <w:sz w:val="28"/>
          <w:szCs w:val="28"/>
        </w:rPr>
        <w:t xml:space="preserve">2. OWASP Top 10 (2021) Compliance</w:t>
      </w:r>
    </w:p>
    <w:p>
      <w:pPr>
        <w:spacing w:before="100" w:after="100"/>
        <w:jc w:val="both"/>
      </w:pPr>
      <w:r>
        <w:rPr>
          <w:color w:val="333333"/>
          <w:sz w:val="22"/>
          <w:szCs w:val="22"/>
        </w:rPr>
        <w:t xml:space="preserve">The application has been assessed against the OWASP Top 10 security risks and demonstrates full compliance across all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800"/>
      </w:tblGrid>
      <w:tr>
        <w:trPr>
          <w:tblHeader/>
        </w:trPr>
        <w:tc>
          <w:tcPr>
            <w:tcW w:type="dxa" w:w="2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Vulnerability</w:t>
            </w:r>
          </w:p>
        </w:tc>
        <w:tc>
          <w:tcPr>
            <w:tcW w:type="dxa" w:w="43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Mitigation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A01: Broken Access Control</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Role-based authentication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A02: Cryptographic Failures</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TLS 1.2+, no card storage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A03: Injection</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Parameterized queries, input validation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A04: Insecure Design</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Security-first architecture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A05: Security Misconfiguration</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Server hardening applied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A06: Vulnerable Components</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Dependencies updated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A07: Authentication Failures</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Strong auth, rate limiting</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A08: Software/Data Integrity</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Code signing, WORDS verification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A09: Logging Failures</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Comprehensive logging</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A10: Server-Side Request Forgery</w:t>
            </w:r>
          </w:p>
        </w:tc>
        <w:tc>
          <w:tcPr>
            <w:tcW w:type="dxa" w:w="436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Not applicable (no SSRF vectors)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pStyle w:val="Heading1"/>
        <w:spacing w:before="400" w:after="200"/>
      </w:pPr>
      <w:r>
        <w:rPr>
          <w:b/>
          <w:bCs/>
          <w:color w:val="1F4E79"/>
          <w:sz w:val="28"/>
          <w:szCs w:val="28"/>
        </w:rPr>
        <w:t xml:space="preserve">3. Banking Industry Security Standards</w:t>
      </w:r>
    </w:p>
    <w:p>
      <w:pPr>
        <w:pStyle w:val="Heading2"/>
        <w:spacing w:before="300" w:after="150"/>
      </w:pPr>
      <w:r>
        <w:rPr>
          <w:b/>
          <w:bCs/>
          <w:color w:val="2E5984"/>
          <w:sz w:val="24"/>
          <w:szCs w:val="24"/>
        </w:rPr>
        <w:t xml:space="preserve">3.1 Payment Gateway Integration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440"/>
        <w:gridCol w:w="1800"/>
      </w:tblGrid>
      <w:tr>
        <w:trPr>
          <w:tblHeader/>
        </w:trPr>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Standard</w:t>
            </w:r>
          </w:p>
        </w:tc>
        <w:tc>
          <w:tcPr>
            <w:tcW w:type="dxa" w:w="444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Hosted Payment Pages</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HPP used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PCI-DSS SAQ A Eligible</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 card data handling</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Signature Verification</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SHA1 WORDS signature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Timing Attack Prevention</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Constant-time comparison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IP Whitelisting</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IPs only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Rate Limiting</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100 req/min per IP</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spacing w:before="200" w:after="100"/>
        <w:jc w:val="both"/>
      </w:pPr>
      <w:r>
        <w:rPr>
          <w:color w:val="333333"/>
          <w:sz w:val="22"/>
          <w:szCs w:val="22"/>
        </w:rPr>
        <w:t xml:space="preserve">DOKU API Compliance: Version 1.29 (latest specification)</w:t>
      </w:r>
    </w:p>
    <w:p>
      <w:pPr>
        <w:pStyle w:val="Heading2"/>
        <w:spacing w:before="300" w:after="150"/>
      </w:pPr>
      <w:r>
        <w:rPr>
          <w:b/>
          <w:bCs/>
          <w:color w:val="2E5984"/>
          <w:sz w:val="24"/>
          <w:szCs w:val="24"/>
        </w:rPr>
        <w:t xml:space="preserve">3.2 Data Protection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440"/>
        <w:gridCol w:w="1800"/>
      </w:tblGrid>
      <w:tr>
        <w:trPr>
          <w:tblHeader/>
        </w:trPr>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Standard</w:t>
            </w:r>
          </w:p>
        </w:tc>
        <w:tc>
          <w:tcPr>
            <w:tcW w:type="dxa" w:w="444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Data Minimization</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Only transaction refs stored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Encryption at Rest</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Database credentials secured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Encryption in Transit</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TLS 1.2+ everywhere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Secure Key Storage</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Environment variables, 600 perms</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 Sensitive Logging</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Production mode safe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pStyle w:val="Heading2"/>
        <w:spacing w:before="300" w:after="150"/>
      </w:pPr>
      <w:r>
        <w:rPr>
          <w:b/>
          <w:bCs/>
          <w:color w:val="2E5984"/>
          <w:sz w:val="24"/>
          <w:szCs w:val="24"/>
        </w:rPr>
        <w:t xml:space="preserve">3.3 Network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440"/>
        <w:gridCol w:w="1800"/>
      </w:tblGrid>
      <w:tr>
        <w:trPr>
          <w:tblHeader/>
        </w:trPr>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Standard</w:t>
            </w:r>
          </w:p>
        </w:tc>
        <w:tc>
          <w:tcPr>
            <w:tcW w:type="dxa" w:w="444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Implementation</w:t>
            </w:r>
          </w:p>
        </w:tc>
        <w:tc>
          <w:tcPr>
            <w:tcW w:type="dxa" w:w="1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Network Segmentation</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Backend isolated</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Firewall Rules</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Restrictive configuration</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DMZ Architecture</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Nginx reverse proxy</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Intrusion Detection</w:t>
            </w:r>
          </w:p>
        </w:tc>
        <w:tc>
          <w:tcPr>
            <w:tcW w:type="dxa" w:w="44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Fail2Ban active</w:t>
            </w:r>
          </w:p>
        </w:tc>
        <w:tc>
          <w:tcPr>
            <w:tcW w:type="dxa" w:w="1800"/>
            <w:tcBorders>
              <w:top w:val="single" w:color="CCCCCC" w:sz="1"/>
              <w:left w:val="single" w:color="CCCCCC" w:sz="1"/>
              <w:bottom w:val="single" w:color="CCCCCC" w:sz="1"/>
              <w:right w:val="single" w:color="CCCCCC" w:sz="1"/>
            </w:tcBorders>
          </w:tcPr>
          <w:p>
            <w:pPr>
              <w:spacing w:before="60" w:after="60"/>
              <w:jc w:val="center"/>
            </w:pPr>
            <w:r>
              <w:rPr>
                <w:b/>
                <w:bCs/>
                <w:color w:val="2E7D32"/>
                <w:sz w:val="20"/>
                <w:szCs w:val="20"/>
              </w:rPr>
              <w:t xml:space="preserve">Pass</w:t>
            </w:r>
          </w:p>
        </w:tc>
      </w:tr>
    </w:tbl>
    <w:p>
      <w:pPr>
        <w:pStyle w:val="Heading1"/>
        <w:spacing w:before="400" w:after="200"/>
      </w:pPr>
      <w:r>
        <w:rPr>
          <w:b/>
          <w:bCs/>
          <w:color w:val="1F4E79"/>
          <w:sz w:val="28"/>
          <w:szCs w:val="28"/>
        </w:rPr>
        <w:t xml:space="preserve">4. Security Hardening Summary</w:t>
      </w:r>
    </w:p>
    <w:p>
      <w:pPr>
        <w:pStyle w:val="Heading2"/>
        <w:spacing w:before="300" w:after="150"/>
      </w:pPr>
      <w:r>
        <w:rPr>
          <w:b/>
          <w:bCs/>
          <w:color w:val="2E5984"/>
          <w:sz w:val="24"/>
          <w:szCs w:val="24"/>
        </w:rPr>
        <w:t xml:space="preserve">4.1 Critical Security Fixes Applied</w:t>
      </w:r>
    </w:p>
    <w:p>
      <w:pPr>
        <w:spacing w:before="100" w:after="100"/>
        <w:jc w:val="both"/>
      </w:pPr>
      <w:r>
        <w:rPr>
          <w:color w:val="333333"/>
          <w:sz w:val="22"/>
          <w:szCs w:val="22"/>
        </w:rPr>
        <w:t xml:space="preserve">Ten critical security fixes have been implemented to ensure robust protection of the payment system:</w:t>
      </w:r>
    </w:p>
    <w:p>
      <w:pPr>
        <w:pStyle w:val="ListParagraph"/>
        <w:numPr>
          <w:ilvl w:val="0"/>
          <w:numId w:val="2"/>
        </w:numPr>
        <w:spacing w:before="100" w:after="60"/>
      </w:pPr>
      <w:r>
        <w:rPr>
          <w:sz w:val="22"/>
          <w:szCs w:val="22"/>
        </w:rPr>
        <w:t xml:space="preserve">Removed hardcoded credentials – All credentials stored in environment variables</w:t>
      </w:r>
    </w:p>
    <w:p>
      <w:pPr>
        <w:pStyle w:val="ListParagraph"/>
        <w:numPr>
          <w:ilvl w:val="0"/>
          <w:numId w:val="2"/>
        </w:numPr>
        <w:spacing w:after="60"/>
      </w:pPr>
      <w:r>
        <w:rPr>
          <w:sz w:val="22"/>
          <w:szCs w:val="22"/>
        </w:rPr>
        <w:t xml:space="preserve">Timing attack prevention – crypto.timingSafeEqual() for signature verification</w:t>
      </w:r>
    </w:p>
    <w:p>
      <w:pPr>
        <w:pStyle w:val="ListParagraph"/>
        <w:numPr>
          <w:ilvl w:val="0"/>
          <w:numId w:val="2"/>
        </w:numPr>
        <w:spacing w:after="60"/>
      </w:pPr>
      <w:r>
        <w:rPr>
          <w:sz w:val="22"/>
          <w:szCs w:val="22"/>
        </w:rPr>
        <w:t xml:space="preserve">Input validation – Email, amount, and customer data sanitization</w:t>
      </w:r>
    </w:p>
    <w:p>
      <w:pPr>
        <w:pStyle w:val="ListParagraph"/>
        <w:numPr>
          <w:ilvl w:val="0"/>
          <w:numId w:val="2"/>
        </w:numPr>
        <w:spacing w:after="60"/>
      </w:pPr>
      <w:r>
        <w:rPr>
          <w:sz w:val="22"/>
          <w:szCs w:val="22"/>
        </w:rPr>
        <w:t xml:space="preserve">IP whitelisting – DOKU IPs only for webhooks</w:t>
      </w:r>
    </w:p>
    <w:p>
      <w:pPr>
        <w:pStyle w:val="ListParagraph"/>
        <w:numPr>
          <w:ilvl w:val="0"/>
          <w:numId w:val="2"/>
        </w:numPr>
        <w:spacing w:after="60"/>
      </w:pPr>
      <w:r>
        <w:rPr>
          <w:sz w:val="22"/>
          <w:szCs w:val="22"/>
        </w:rPr>
        <w:t xml:space="preserve">Rate limiting – 100 requests/minute per IP</w:t>
      </w:r>
    </w:p>
    <w:p>
      <w:pPr>
        <w:pStyle w:val="ListParagraph"/>
        <w:numPr>
          <w:ilvl w:val="0"/>
          <w:numId w:val="2"/>
        </w:numPr>
        <w:spacing w:after="60"/>
      </w:pPr>
      <w:r>
        <w:rPr>
          <w:sz w:val="22"/>
          <w:szCs w:val="22"/>
        </w:rPr>
        <w:t xml:space="preserve">Request timeout – 30-second limit prevents hanging</w:t>
      </w:r>
    </w:p>
    <w:p>
      <w:pPr>
        <w:pStyle w:val="ListParagraph"/>
        <w:numPr>
          <w:ilvl w:val="0"/>
          <w:numId w:val="2"/>
        </w:numPr>
        <w:spacing w:after="60"/>
      </w:pPr>
      <w:r>
        <w:rPr>
          <w:sz w:val="22"/>
          <w:szCs w:val="22"/>
        </w:rPr>
        <w:t xml:space="preserve">Secure logging – No sensitive data in production logs</w:t>
      </w:r>
    </w:p>
    <w:p>
      <w:pPr>
        <w:pStyle w:val="ListParagraph"/>
        <w:numPr>
          <w:ilvl w:val="0"/>
          <w:numId w:val="2"/>
        </w:numPr>
        <w:spacing w:after="60"/>
      </w:pPr>
      <w:r>
        <w:rPr>
          <w:sz w:val="22"/>
          <w:szCs w:val="22"/>
        </w:rPr>
        <w:t xml:space="preserve">Error handling – Generic errors with detailed server-side logging</w:t>
      </w:r>
    </w:p>
    <w:p>
      <w:pPr>
        <w:pStyle w:val="ListParagraph"/>
        <w:numPr>
          <w:ilvl w:val="0"/>
          <w:numId w:val="2"/>
        </w:numPr>
        <w:spacing w:after="60"/>
      </w:pPr>
      <w:r>
        <w:rPr>
          <w:sz w:val="22"/>
          <w:szCs w:val="22"/>
        </w:rPr>
        <w:t xml:space="preserve">Production/test separation – Different endpoints and credentials</w:t>
      </w:r>
    </w:p>
    <w:p>
      <w:pPr>
        <w:pStyle w:val="ListParagraph"/>
        <w:numPr>
          <w:ilvl w:val="0"/>
          <w:numId w:val="2"/>
        </w:numPr>
        <w:spacing w:after="100"/>
      </w:pPr>
      <w:r>
        <w:rPr>
          <w:sz w:val="22"/>
          <w:szCs w:val="22"/>
        </w:rPr>
        <w:t xml:space="preserve">Backend localhost binding – No direct external access</w:t>
      </w:r>
    </w:p>
    <w:p>
      <w:pPr>
        <w:pStyle w:val="Heading2"/>
        <w:spacing w:before="300" w:after="150"/>
      </w:pPr>
      <w:r>
        <w:rPr>
          <w:b/>
          <w:bCs/>
          <w:color w:val="2E5984"/>
          <w:sz w:val="24"/>
          <w:szCs w:val="24"/>
        </w:rPr>
        <w:t xml:space="preserve">4.2 Server Security Hardening</w:t>
      </w:r>
    </w:p>
    <w:p>
      <w:pPr>
        <w:spacing w:before="100" w:after="100"/>
        <w:jc w:val="both"/>
      </w:pPr>
      <w:r>
        <w:rPr>
          <w:color w:val="333333"/>
          <w:sz w:val="22"/>
          <w:szCs w:val="22"/>
        </w:rPr>
        <w:t xml:space="preserve">Additional server-level security measures include TLS 1.2+ only encryption, strong cipher suites (AES-GCM, ChaCha20), comprehensive security headers (HSTS, X-Frame-Options, CSP), active UFW firewall with restrictive rules, PostgreSQL and Node.js bound to localhost only, secured .env file (permissions 600), active Fail2Ban protection (67 IPs banned), and 107 of 113 security updates applied.</w:t>
      </w:r>
    </w:p>
    <w:p>
      <w:pPr>
        <w:pStyle w:val="Heading1"/>
        <w:spacing w:before="400" w:after="200"/>
      </w:pPr>
      <w:r>
        <w:rPr>
          <w:b/>
          <w:bCs/>
          <w:color w:val="1F4E79"/>
          <w:sz w:val="28"/>
          <w:szCs w:val="28"/>
        </w:rPr>
        <w:t xml:space="preserve">5. Risk Assessment</w:t>
      </w:r>
    </w:p>
    <w:p>
      <w:pPr>
        <w:pStyle w:val="Heading2"/>
        <w:spacing w:before="300" w:after="150"/>
      </w:pPr>
      <w:r>
        <w:rPr>
          <w:b/>
          <w:bCs/>
          <w:color w:val="2E5984"/>
          <w:sz w:val="24"/>
          <w:szCs w:val="24"/>
        </w:rPr>
        <w:t xml:space="preserve">5.1 Current Risk Level: 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rPr>
          <w:tblHeader/>
        </w:trPr>
        <w:tc>
          <w:tcPr>
            <w:tcW w:type="dxa" w:w="28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Risk Category</w:t>
            </w:r>
          </w:p>
        </w:tc>
        <w:tc>
          <w:tcPr>
            <w:tcW w:type="dxa" w:w="156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Level</w:t>
            </w:r>
          </w:p>
        </w:tc>
        <w:tc>
          <w:tcPr>
            <w:tcW w:type="dxa" w:w="500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Data Breach</w:t>
            </w:r>
          </w:p>
        </w:tc>
        <w:tc>
          <w:tcPr>
            <w:tcW w:type="dxa" w:w="1560"/>
            <w:tcBorders>
              <w:top w:val="single" w:color="CCCCCC" w:sz="1"/>
              <w:left w:val="single" w:color="CCCCCC" w:sz="1"/>
              <w:bottom w:val="single" w:color="CCCCCC" w:sz="1"/>
              <w:right w:val="single" w:color="CCCCCC" w:sz="1"/>
            </w:tcBorders>
          </w:tcPr>
          <w:p>
            <w:pPr>
              <w:spacing w:before="60" w:after="60"/>
              <w:jc w:val="center"/>
            </w:pPr>
            <w:r>
              <w:rPr>
                <w:b/>
                <w:bCs/>
                <w:color w:val="C62828"/>
                <w:sz w:val="20"/>
                <w:szCs w:val="20"/>
              </w:rPr>
              <w:t xml:space="preserve">Low</w:t>
            </w:r>
          </w:p>
        </w:tc>
        <w:tc>
          <w:tcPr>
            <w:tcW w:type="dxa" w:w="50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 card data stored, TLS enforced</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Unauthorized Access</w:t>
            </w:r>
          </w:p>
        </w:tc>
        <w:tc>
          <w:tcPr>
            <w:tcW w:type="dxa" w:w="1560"/>
            <w:tcBorders>
              <w:top w:val="single" w:color="CCCCCC" w:sz="1"/>
              <w:left w:val="single" w:color="CCCCCC" w:sz="1"/>
              <w:bottom w:val="single" w:color="CCCCCC" w:sz="1"/>
              <w:right w:val="single" w:color="CCCCCC" w:sz="1"/>
            </w:tcBorders>
          </w:tcPr>
          <w:p>
            <w:pPr>
              <w:spacing w:before="60" w:after="60"/>
              <w:jc w:val="center"/>
            </w:pPr>
            <w:r>
              <w:rPr>
                <w:b/>
                <w:bCs/>
                <w:color w:val="C62828"/>
                <w:sz w:val="20"/>
                <w:szCs w:val="20"/>
              </w:rPr>
              <w:t xml:space="preserve">Low</w:t>
            </w:r>
          </w:p>
        </w:tc>
        <w:tc>
          <w:tcPr>
            <w:tcW w:type="dxa" w:w="50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Firewall, auth, rate limiting</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Payment Fraud</w:t>
            </w:r>
          </w:p>
        </w:tc>
        <w:tc>
          <w:tcPr>
            <w:tcW w:type="dxa" w:w="1560"/>
            <w:tcBorders>
              <w:top w:val="single" w:color="CCCCCC" w:sz="1"/>
              <w:left w:val="single" w:color="CCCCCC" w:sz="1"/>
              <w:bottom w:val="single" w:color="CCCCCC" w:sz="1"/>
              <w:right w:val="single" w:color="CCCCCC" w:sz="1"/>
            </w:tcBorders>
          </w:tcPr>
          <w:p>
            <w:pPr>
              <w:spacing w:before="60" w:after="60"/>
              <w:jc w:val="center"/>
            </w:pPr>
            <w:r>
              <w:rPr>
                <w:b/>
                <w:bCs/>
                <w:color w:val="C62828"/>
                <w:sz w:val="20"/>
                <w:szCs w:val="20"/>
              </w:rPr>
              <w:t xml:space="preserve">Low</w:t>
            </w:r>
          </w:p>
        </w:tc>
        <w:tc>
          <w:tcPr>
            <w:tcW w:type="dxa" w:w="50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signature verification</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DDoS Attack</w:t>
            </w:r>
          </w:p>
        </w:tc>
        <w:tc>
          <w:tcPr>
            <w:tcW w:type="dxa" w:w="1560"/>
            <w:tcBorders>
              <w:top w:val="single" w:color="CCCCCC" w:sz="1"/>
              <w:left w:val="single" w:color="CCCCCC" w:sz="1"/>
              <w:bottom w:val="single" w:color="CCCCCC" w:sz="1"/>
              <w:right w:val="single" w:color="CCCCCC" w:sz="1"/>
            </w:tcBorders>
          </w:tcPr>
          <w:p>
            <w:pPr>
              <w:spacing w:before="60" w:after="60"/>
              <w:jc w:val="center"/>
            </w:pPr>
            <w:r>
              <w:rPr>
                <w:b/>
                <w:bCs/>
                <w:color w:val="C62828"/>
                <w:sz w:val="20"/>
                <w:szCs w:val="20"/>
              </w:rPr>
              <w:t xml:space="preserve">Medium</w:t>
            </w:r>
          </w:p>
        </w:tc>
        <w:tc>
          <w:tcPr>
            <w:tcW w:type="dxa" w:w="50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Rate limiting, consider WAF</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Insider Threat</w:t>
            </w:r>
          </w:p>
        </w:tc>
        <w:tc>
          <w:tcPr>
            <w:tcW w:type="dxa" w:w="1560"/>
            <w:tcBorders>
              <w:top w:val="single" w:color="CCCCCC" w:sz="1"/>
              <w:left w:val="single" w:color="CCCCCC" w:sz="1"/>
              <w:bottom w:val="single" w:color="CCCCCC" w:sz="1"/>
              <w:right w:val="single" w:color="CCCCCC" w:sz="1"/>
            </w:tcBorders>
          </w:tcPr>
          <w:p>
            <w:pPr>
              <w:spacing w:before="60" w:after="60"/>
              <w:jc w:val="center"/>
            </w:pPr>
            <w:r>
              <w:rPr>
                <w:b/>
                <w:bCs/>
                <w:color w:val="C62828"/>
                <w:sz w:val="20"/>
                <w:szCs w:val="20"/>
              </w:rPr>
              <w:t xml:space="preserve">Low</w:t>
            </w:r>
          </w:p>
        </w:tc>
        <w:tc>
          <w:tcPr>
            <w:tcW w:type="dxa" w:w="50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Role-based access, audit logs</w:t>
            </w:r>
          </w:p>
        </w:tc>
      </w:tr>
      <w:tr>
        <w:tc>
          <w:tcPr>
            <w:tcW w:type="dxa" w:w="28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Malware</w:t>
            </w:r>
          </w:p>
        </w:tc>
        <w:tc>
          <w:tcPr>
            <w:tcW w:type="dxa" w:w="1560"/>
            <w:tcBorders>
              <w:top w:val="single" w:color="CCCCCC" w:sz="1"/>
              <w:left w:val="single" w:color="CCCCCC" w:sz="1"/>
              <w:bottom w:val="single" w:color="CCCCCC" w:sz="1"/>
              <w:right w:val="single" w:color="CCCCCC" w:sz="1"/>
            </w:tcBorders>
          </w:tcPr>
          <w:p>
            <w:pPr>
              <w:spacing w:before="60" w:after="60"/>
              <w:jc w:val="center"/>
            </w:pPr>
            <w:r>
              <w:rPr>
                <w:b/>
                <w:bCs/>
                <w:color w:val="C62828"/>
                <w:sz w:val="20"/>
                <w:szCs w:val="20"/>
              </w:rPr>
              <w:t xml:space="preserve">Low</w:t>
            </w:r>
          </w:p>
        </w:tc>
        <w:tc>
          <w:tcPr>
            <w:tcW w:type="dxa" w:w="500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Updates applied, Fail2Ban active</w:t>
            </w:r>
          </w:p>
        </w:tc>
      </w:tr>
    </w:tbl>
    <w:p>
      <w:pPr>
        <w:pStyle w:val="Heading2"/>
        <w:spacing w:before="300" w:after="150"/>
      </w:pPr>
      <w:r>
        <w:rPr>
          <w:b/>
          <w:bCs/>
          <w:color w:val="2E5984"/>
          <w:sz w:val="24"/>
          <w:szCs w:val="24"/>
        </w:rPr>
        <w:t xml:space="preserve">5.2 Residual Risks</w:t>
      </w:r>
    </w:p>
    <w:p>
      <w:pPr>
        <w:spacing w:before="100" w:after="100"/>
        <w:jc w:val="both"/>
      </w:pPr>
      <w:r>
        <w:rPr>
          <w:color w:val="333333"/>
          <w:sz w:val="22"/>
          <w:szCs w:val="22"/>
        </w:rPr>
        <w:t xml:space="preserve">The following residual risks have been identified and are acceptable for the BSP testing phase:</w:t>
      </w:r>
    </w:p>
    <w:p>
      <w:pPr>
        <w:pStyle w:val="ListParagraph"/>
        <w:numPr>
          <w:ilvl w:val="0"/>
          <w:numId w:val="3"/>
        </w:numPr>
        <w:spacing w:before="100" w:after="60"/>
      </w:pPr>
      <w:r>
        <w:rPr>
          <w:sz w:val="22"/>
          <w:szCs w:val="22"/>
        </w:rPr>
        <w:t xml:space="preserve">DDoS Protection – Consider Cloudflare or WAF before production</w:t>
      </w:r>
    </w:p>
    <w:p>
      <w:pPr>
        <w:pStyle w:val="ListParagraph"/>
        <w:numPr>
          <w:ilvl w:val="0"/>
          <w:numId w:val="3"/>
        </w:numPr>
        <w:spacing w:after="60"/>
      </w:pPr>
      <w:r>
        <w:rPr>
          <w:sz w:val="22"/>
          <w:szCs w:val="22"/>
        </w:rPr>
        <w:t xml:space="preserve">Monitoring – Automated alerts recommended</w:t>
      </w:r>
    </w:p>
    <w:p>
      <w:pPr>
        <w:pStyle w:val="ListParagraph"/>
        <w:numPr>
          <w:ilvl w:val="0"/>
          <w:numId w:val="3"/>
        </w:numPr>
        <w:spacing w:after="60"/>
      </w:pPr>
      <w:r>
        <w:rPr>
          <w:sz w:val="22"/>
          <w:szCs w:val="22"/>
        </w:rPr>
        <w:t xml:space="preserve">Backup Encryption – Database backups should be encrypted</w:t>
      </w:r>
    </w:p>
    <w:p>
      <w:pPr>
        <w:pStyle w:val="ListParagraph"/>
        <w:numPr>
          <w:ilvl w:val="0"/>
          <w:numId w:val="3"/>
        </w:numPr>
        <w:spacing w:after="100"/>
      </w:pPr>
      <w:r>
        <w:rPr>
          <w:sz w:val="22"/>
          <w:szCs w:val="22"/>
        </w:rPr>
        <w:t xml:space="preserve">Multi-Factor Authentication – Recommended for admin users</w:t>
      </w:r>
    </w:p>
    <w:p>
      <w:pPr>
        <w:pStyle w:val="Heading1"/>
        <w:spacing w:before="400" w:after="200"/>
      </w:pPr>
      <w:r>
        <w:rPr>
          <w:b/>
          <w:bCs/>
          <w:color w:val="1F4E79"/>
          <w:sz w:val="28"/>
          <w:szCs w:val="28"/>
        </w:rPr>
        <w:t xml:space="preserve">6. Compliance Gaps and Recommendations</w:t>
      </w:r>
    </w:p>
    <w:p>
      <w:pPr>
        <w:pStyle w:val="Heading2"/>
        <w:spacing w:before="300" w:after="150"/>
      </w:pPr>
      <w:r>
        <w:rPr>
          <w:b/>
          <w:bCs/>
          <w:color w:val="2E5984"/>
          <w:sz w:val="24"/>
          <w:szCs w:val="24"/>
        </w:rPr>
        <w:t xml:space="preserve">6.1 Critical (Before Production)</w:t>
      </w:r>
    </w:p>
    <w:p>
      <w:pPr>
        <w:spacing w:before="100" w:after="100"/>
        <w:jc w:val="both"/>
      </w:pPr>
      <w:r>
        <w:rPr>
          <w:b/>
          <w:bCs/>
          <w:color w:val="2E7D32"/>
          <w:sz w:val="22"/>
          <w:szCs w:val="22"/>
        </w:rPr>
        <w:t xml:space="preserve">None – All critical requirements have been met.</w:t>
      </w:r>
    </w:p>
    <w:p>
      <w:pPr>
        <w:pStyle w:val="Heading2"/>
        <w:spacing w:before="300" w:after="150"/>
      </w:pPr>
      <w:r>
        <w:rPr>
          <w:b/>
          <w:bCs/>
          <w:color w:val="2E5984"/>
          <w:sz w:val="24"/>
          <w:szCs w:val="24"/>
        </w:rPr>
        <w:t xml:space="preserve">6.2 Important (Recommended)</w:t>
      </w:r>
    </w:p>
    <w:p>
      <w:pPr>
        <w:pStyle w:val="ListParagraph"/>
        <w:numPr>
          <w:ilvl w:val="0"/>
          <w:numId w:val="4"/>
        </w:numPr>
        <w:spacing w:before="100" w:after="60"/>
      </w:pPr>
      <w:r>
        <w:rPr>
          <w:sz w:val="22"/>
          <w:szCs w:val="22"/>
        </w:rPr>
        <w:t xml:space="preserve">Install auditd – File integrity monitoring (PCI-DSS 10.5). Priority: Medium. Effort: 15 minutes.</w:t>
      </w:r>
    </w:p>
    <w:p>
      <w:pPr>
        <w:pStyle w:val="ListParagraph"/>
        <w:numPr>
          <w:ilvl w:val="0"/>
          <w:numId w:val="4"/>
        </w:numPr>
        <w:spacing w:after="60"/>
      </w:pPr>
      <w:r>
        <w:rPr>
          <w:sz w:val="22"/>
          <w:szCs w:val="22"/>
        </w:rPr>
        <w:t xml:space="preserve">Install rkhunter – Rootkit detection (PCI-DSS 5.1). Priority: Medium. Effort: 10 minutes.</w:t>
      </w:r>
    </w:p>
    <w:p>
      <w:pPr>
        <w:pStyle w:val="ListParagraph"/>
        <w:numPr>
          <w:ilvl w:val="0"/>
          <w:numId w:val="4"/>
        </w:numPr>
        <w:spacing w:after="60"/>
      </w:pPr>
      <w:r>
        <w:rPr>
          <w:sz w:val="22"/>
          <w:szCs w:val="22"/>
        </w:rPr>
        <w:t xml:space="preserve">Disable SSH password authentication – Force key-based only. Priority: Medium. Effort: 5 minutes.</w:t>
      </w:r>
    </w:p>
    <w:p>
      <w:pPr>
        <w:pStyle w:val="ListParagraph"/>
        <w:numPr>
          <w:ilvl w:val="0"/>
          <w:numId w:val="4"/>
        </w:numPr>
        <w:spacing w:after="100"/>
      </w:pPr>
      <w:r>
        <w:rPr>
          <w:sz w:val="22"/>
          <w:szCs w:val="22"/>
        </w:rPr>
        <w:t xml:space="preserve">Disable root SSH login – Reduce attack surface. Priority: Medium. Effort: 5 minutes.</w:t>
      </w:r>
    </w:p>
    <w:p>
      <w:pPr>
        <w:pStyle w:val="Heading2"/>
        <w:spacing w:before="300" w:after="150"/>
      </w:pPr>
      <w:r>
        <w:rPr>
          <w:b/>
          <w:bCs/>
          <w:color w:val="2E5984"/>
          <w:sz w:val="24"/>
          <w:szCs w:val="24"/>
        </w:rPr>
        <w:t xml:space="preserve">6.3 Optional (Nice to Have)</w:t>
      </w:r>
    </w:p>
    <w:p>
      <w:pPr>
        <w:spacing w:before="100" w:after="100"/>
        <w:jc w:val="both"/>
      </w:pPr>
      <w:r>
        <w:rPr>
          <w:color w:val="333333"/>
          <w:sz w:val="22"/>
          <w:szCs w:val="22"/>
        </w:rPr>
        <w:t xml:space="preserve">Additional enhancements to consider include SSL Labs A+ rating optimization, centralized logging (ELK stack), WAF/DDoS protection via Cloudflare, 2FA for admin users using Google Authenticator, and automated weekly security scanning.</w:t>
      </w:r>
    </w:p>
    <w:p>
      <w:pPr>
        <w:pStyle w:val="Heading1"/>
        <w:spacing w:before="400" w:after="200"/>
      </w:pPr>
      <w:r>
        <w:rPr>
          <w:b/>
          <w:bCs/>
          <w:color w:val="1F4E79"/>
          <w:sz w:val="28"/>
          <w:szCs w:val="28"/>
        </w:rPr>
        <w:t xml:space="preserve">7. Test Environment vs Production</w:t>
      </w:r>
    </w:p>
    <w:p>
      <w:pPr>
        <w:pStyle w:val="Heading2"/>
        <w:spacing w:before="300" w:after="150"/>
      </w:pPr>
      <w:r>
        <w:rPr>
          <w:b/>
          <w:bCs/>
          <w:color w:val="2E5984"/>
          <w:sz w:val="24"/>
          <w:szCs w:val="24"/>
        </w:rPr>
        <w:t xml:space="preserve">7.1 Current Environment: TEST/STAGING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Setting</w:t>
            </w:r>
          </w:p>
        </w:tc>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Test</w:t>
            </w:r>
          </w:p>
        </w:tc>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Production Required</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Environment</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Staging</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Production</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Mall ID</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11170 (test)</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TBD from BSP</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Shared Key</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Test credentials</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Production credentials</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DOKU IPs</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Staging IPs whitelisted</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Production IPs needed</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SSL Certificate</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Valid (Let's Encrypt)</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Same OK</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Firewall</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Configured</w:t>
            </w:r>
          </w:p>
        </w:tc>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Update IPs only</w:t>
            </w:r>
          </w:p>
        </w:tc>
      </w:tr>
    </w:tbl>
    <w:p>
      <w:pPr>
        <w:pStyle w:val="Heading2"/>
        <w:spacing w:before="300" w:after="150"/>
      </w:pPr>
      <w:r>
        <w:rPr>
          <w:b/>
          <w:bCs/>
          <w:color w:val="2E5984"/>
          <w:sz w:val="24"/>
          <w:szCs w:val="24"/>
        </w:rPr>
        <w:t xml:space="preserve">7.2 Production Deployment Checklist</w:t>
      </w:r>
    </w:p>
    <w:p>
      <w:pPr>
        <w:spacing w:before="100" w:after="100"/>
        <w:jc w:val="both"/>
      </w:pPr>
      <w:r>
        <w:rPr>
          <w:color w:val="333333"/>
          <w:sz w:val="22"/>
          <w:szCs w:val="22"/>
        </w:rPr>
        <w:t xml:space="preserve">The following steps are required for production deployment:</w:t>
      </w:r>
    </w:p>
    <w:p>
      <w:pPr>
        <w:pStyle w:val="ListParagraph"/>
        <w:numPr>
          <w:ilvl w:val="0"/>
          <w:numId w:val="5"/>
        </w:numPr>
        <w:spacing w:before="100" w:after="60"/>
      </w:pPr>
      <w:r>
        <w:rPr>
          <w:sz w:val="22"/>
          <w:szCs w:val="22"/>
        </w:rPr>
        <w:t xml:space="preserve">Obtain production Mall ID from BSP</w:t>
      </w:r>
    </w:p>
    <w:p>
      <w:pPr>
        <w:pStyle w:val="ListParagraph"/>
        <w:numPr>
          <w:ilvl w:val="0"/>
          <w:numId w:val="5"/>
        </w:numPr>
        <w:spacing w:after="60"/>
      </w:pPr>
      <w:r>
        <w:rPr>
          <w:sz w:val="22"/>
          <w:szCs w:val="22"/>
        </w:rPr>
        <w:t xml:space="preserve">Obtain production Shared Key from BSP</w:t>
      </w:r>
    </w:p>
    <w:p>
      <w:pPr>
        <w:pStyle w:val="ListParagraph"/>
        <w:numPr>
          <w:ilvl w:val="0"/>
          <w:numId w:val="5"/>
        </w:numPr>
        <w:spacing w:after="60"/>
      </w:pPr>
      <w:r>
        <w:rPr>
          <w:sz w:val="22"/>
          <w:szCs w:val="22"/>
        </w:rPr>
        <w:t xml:space="preserve">Update BSP_DOKU_MALL_ID and BSP_DOKU_SHARED_KEY in environment configuration</w:t>
      </w:r>
    </w:p>
    <w:p>
      <w:pPr>
        <w:pStyle w:val="ListParagraph"/>
        <w:numPr>
          <w:ilvl w:val="0"/>
          <w:numId w:val="5"/>
        </w:numPr>
        <w:spacing w:after="60"/>
      </w:pPr>
      <w:r>
        <w:rPr>
          <w:sz w:val="22"/>
          <w:szCs w:val="22"/>
        </w:rPr>
        <w:t xml:space="preserve">Change BSP_DOKU_MODE to production</w:t>
      </w:r>
    </w:p>
    <w:p>
      <w:pPr>
        <w:pStyle w:val="ListParagraph"/>
        <w:numPr>
          <w:ilvl w:val="0"/>
          <w:numId w:val="5"/>
        </w:numPr>
        <w:spacing w:after="60"/>
      </w:pPr>
      <w:r>
        <w:rPr>
          <w:sz w:val="22"/>
          <w:szCs w:val="22"/>
        </w:rPr>
        <w:t xml:space="preserve">Update firewall with production DOKU IPs (103.10.130.35, 147.139.129.160)</w:t>
      </w:r>
    </w:p>
    <w:p>
      <w:pPr>
        <w:pStyle w:val="ListParagraph"/>
        <w:numPr>
          <w:ilvl w:val="0"/>
          <w:numId w:val="5"/>
        </w:numPr>
        <w:spacing w:after="60"/>
      </w:pPr>
      <w:r>
        <w:rPr>
          <w:sz w:val="22"/>
          <w:szCs w:val="22"/>
        </w:rPr>
        <w:t xml:space="preserve">Remove staging IPs from firewall</w:t>
      </w:r>
    </w:p>
    <w:p>
      <w:pPr>
        <w:pStyle w:val="ListParagraph"/>
        <w:numPr>
          <w:ilvl w:val="0"/>
          <w:numId w:val="5"/>
        </w:numPr>
        <w:spacing w:after="60"/>
      </w:pPr>
      <w:r>
        <w:rPr>
          <w:sz w:val="22"/>
          <w:szCs w:val="22"/>
        </w:rPr>
        <w:t xml:space="preserve">Restart backend service and verify webhooks</w:t>
      </w:r>
    </w:p>
    <w:p>
      <w:pPr>
        <w:pStyle w:val="ListParagraph"/>
        <w:numPr>
          <w:ilvl w:val="0"/>
          <w:numId w:val="5"/>
        </w:numPr>
        <w:spacing w:after="100"/>
      </w:pPr>
      <w:r>
        <w:rPr>
          <w:sz w:val="22"/>
          <w:szCs w:val="22"/>
        </w:rPr>
        <w:t xml:space="preserve">Monitor system for 24 hours post-deployment</w:t>
      </w:r>
    </w:p>
    <w:p>
      <w:pPr>
        <w:pStyle w:val="Heading1"/>
        <w:spacing w:before="400" w:after="200"/>
      </w:pPr>
      <w:r>
        <w:rPr>
          <w:b/>
          <w:bCs/>
          <w:color w:val="1F4E79"/>
          <w:sz w:val="28"/>
          <w:szCs w:val="28"/>
        </w:rPr>
        <w:t xml:space="preserve">8. BSP Testing Readiness</w:t>
      </w:r>
    </w:p>
    <w:p>
      <w:pPr>
        <w:pStyle w:val="Heading2"/>
        <w:spacing w:before="300" w:after="150"/>
      </w:pPr>
      <w:r>
        <w:rPr>
          <w:b/>
          <w:bCs/>
          <w:color w:val="2E5984"/>
          <w:sz w:val="24"/>
          <w:szCs w:val="24"/>
        </w:rPr>
        <w:t xml:space="preserve">8.1 Technical Requirements: COMPLETE</w:t>
      </w:r>
    </w:p>
    <w:p>
      <w:pPr>
        <w:spacing w:before="100" w:after="100"/>
        <w:jc w:val="both"/>
      </w:pPr>
      <w:r>
        <w:rPr>
          <w:color w:val="333333"/>
          <w:sz w:val="22"/>
          <w:szCs w:val="22"/>
        </w:rPr>
        <w:t xml:space="preserve">All technical requirements for BSP testing have been implemented, including DOKU Hosted Payment Pages API v1.29, WORDS signature generation, payment session creation, webhook configuration, IP whitelisting, security hardening, and server infrastructure compliance.</w:t>
      </w:r>
    </w:p>
    <w:p>
      <w:pPr>
        <w:pStyle w:val="Heading2"/>
        <w:spacing w:before="300" w:after="150"/>
      </w:pPr>
      <w:r>
        <w:rPr>
          <w:b/>
          <w:bCs/>
          <w:color w:val="2E5984"/>
          <w:sz w:val="24"/>
          <w:szCs w:val="24"/>
        </w:rPr>
        <w:t xml:space="preserve">8.2 Integration URLs for BSP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Endpoint</w:t>
            </w:r>
          </w:p>
        </w:tc>
        <w:tc>
          <w:tcPr>
            <w:tcW w:type="dxa" w:w="6240"/>
            <w:tcBorders>
              <w:top w:val="single" w:color="1F4E79" w:sz="1"/>
              <w:left w:val="single" w:color="1F4E79" w:sz="1"/>
              <w:bottom w:val="single" w:color="1F4E79" w:sz="1"/>
              <w:right w:val="single" w:color="1F4E79" w:sz="1"/>
            </w:tcBorders>
            <w:shd w:fill="1F4E79" w:val="clear"/>
          </w:tcPr>
          <w:p>
            <w:pPr>
              <w:spacing w:before="60" w:after="60"/>
              <w:jc w:val="left"/>
            </w:pPr>
            <w:r>
              <w:rPr>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Test Website</w:t>
            </w:r>
          </w:p>
        </w:tc>
        <w:tc>
          <w:tcPr>
            <w:tcW w:type="dxa" w:w="62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https://greenpay.eywademo.cloud/buy-online</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Notify Webhook</w:t>
            </w:r>
          </w:p>
        </w:tc>
        <w:tc>
          <w:tcPr>
            <w:tcW w:type="dxa" w:w="62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https://greenpay.eywademo.cloud/api/payment/webhook/doku/notify</w:t>
            </w:r>
          </w:p>
        </w:tc>
      </w:tr>
      <w:tr>
        <w:tc>
          <w:tcPr>
            <w:tcW w:type="dxa" w:w="312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Redirect Webhook</w:t>
            </w:r>
          </w:p>
        </w:tc>
        <w:tc>
          <w:tcPr>
            <w:tcW w:type="dxa" w:w="6240"/>
            <w:tcBorders>
              <w:top w:val="single" w:color="CCCCCC" w:sz="1"/>
              <w:left w:val="single" w:color="CCCCCC" w:sz="1"/>
              <w:bottom w:val="single" w:color="CCCCCC" w:sz="1"/>
              <w:right w:val="single" w:color="CCCCCC" w:sz="1"/>
            </w:tcBorders>
          </w:tcPr>
          <w:p>
            <w:pPr>
              <w:spacing w:before="60" w:after="60"/>
              <w:jc w:val="left"/>
            </w:pPr>
            <w:r>
              <w:rPr>
                <w:b w:val="false"/>
                <w:bCs w:val="false"/>
                <w:color w:val="333333"/>
                <w:sz w:val="20"/>
                <w:szCs w:val="20"/>
              </w:rPr>
              <w:t xml:space="preserve">https://greenpay.eywademo.cloud/api/payment/webhook/doku/redirect</w:t>
            </w:r>
          </w:p>
        </w:tc>
      </w:tr>
    </w:tbl>
    <w:p>
      <w:pPr>
        <w:pStyle w:val="Heading2"/>
        <w:spacing w:before="300" w:after="150"/>
      </w:pPr>
      <w:r>
        <w:rPr>
          <w:b/>
          <w:bCs/>
          <w:color w:val="2E5984"/>
          <w:sz w:val="24"/>
          <w:szCs w:val="24"/>
        </w:rPr>
        <w:t xml:space="preserve">8.3 Test Credentials</w:t>
      </w:r>
    </w:p>
    <w:p>
      <w:pPr>
        <w:spacing w:before="100" w:after="100"/>
        <w:jc w:val="both"/>
      </w:pPr>
      <w:r>
        <w:rPr>
          <w:color w:val="333333"/>
          <w:sz w:val="22"/>
          <w:szCs w:val="22"/>
        </w:rPr>
        <w:t xml:space="preserve">Mall ID: 11170 (DOKU Staging Environment). Currency tested: IDR (360) and PGK (598).</w:t>
      </w:r>
    </w:p>
    <w:p>
      <w:pPr>
        <w:pStyle w:val="Heading2"/>
        <w:spacing w:before="300" w:after="150"/>
      </w:pPr>
      <w:r>
        <w:rPr>
          <w:b/>
          <w:bCs/>
          <w:color w:val="2E5984"/>
          <w:sz w:val="24"/>
          <w:szCs w:val="24"/>
        </w:rPr>
        <w:t xml:space="preserve">8.4 Known Testing Issue</w:t>
      </w:r>
    </w:p>
    <w:p>
      <w:pPr>
        <w:spacing w:before="100" w:after="100"/>
        <w:jc w:val="both"/>
      </w:pPr>
      <w:r>
        <w:rPr>
          <w:color w:val="333333"/>
          <w:sz w:val="22"/>
          <w:szCs w:val="22"/>
        </w:rPr>
        <w:t xml:space="preserve">Status: Payment page loads successfully, but transactions decline. Possible causes include test merchant account (Mall ID 11170) not being fully activated or PGK currency (598) not being supported in the DOKU staging environment. Recommendation: BSP to activate test credentials and confirm PGK support.</w:t>
      </w:r>
    </w:p>
    <w:p>
      <w:pPr>
        <w:pStyle w:val="Heading1"/>
        <w:spacing w:before="400" w:after="200"/>
      </w:pPr>
      <w:r>
        <w:rPr>
          <w:b/>
          <w:bCs/>
          <w:color w:val="1F4E79"/>
          <w:sz w:val="28"/>
          <w:szCs w:val="28"/>
        </w:rPr>
        <w:t xml:space="preserve">9. Security Monitoring</w:t>
      </w:r>
    </w:p>
    <w:p>
      <w:pPr>
        <w:pStyle w:val="Heading2"/>
        <w:spacing w:before="300" w:after="150"/>
      </w:pPr>
      <w:r>
        <w:rPr>
          <w:b/>
          <w:bCs/>
          <w:color w:val="2E5984"/>
          <w:sz w:val="24"/>
          <w:szCs w:val="24"/>
        </w:rPr>
        <w:t xml:space="preserve">9.1 Automated Monitoring</w:t>
      </w:r>
    </w:p>
    <w:p>
      <w:pPr>
        <w:spacing w:before="100" w:after="100"/>
        <w:jc w:val="both"/>
      </w:pPr>
      <w:r>
        <w:rPr>
          <w:color w:val="333333"/>
          <w:sz w:val="22"/>
          <w:szCs w:val="22"/>
        </w:rPr>
        <w:t xml:space="preserve">A security audit script (server-security-audit.sh) is available for regular security assessments. This script should be run weekly or before deployments to ensure ongoing compliance.</w:t>
      </w:r>
    </w:p>
    <w:p>
      <w:pPr>
        <w:pStyle w:val="Heading2"/>
        <w:spacing w:before="300" w:after="150"/>
      </w:pPr>
      <w:r>
        <w:rPr>
          <w:b/>
          <w:bCs/>
          <w:color w:val="2E5984"/>
          <w:sz w:val="24"/>
          <w:szCs w:val="24"/>
        </w:rPr>
        <w:t xml:space="preserve">9.2 Recommended Alerts</w:t>
      </w:r>
    </w:p>
    <w:p>
      <w:pPr>
        <w:spacing w:before="100" w:after="100"/>
        <w:jc w:val="both"/>
      </w:pPr>
      <w:r>
        <w:rPr>
          <w:color w:val="333333"/>
          <w:sz w:val="22"/>
          <w:szCs w:val="22"/>
        </w:rPr>
        <w:t xml:space="preserve">The following security events should trigger automated alerts:</w:t>
      </w:r>
    </w:p>
    <w:p>
      <w:pPr>
        <w:pStyle w:val="ListParagraph"/>
        <w:numPr>
          <w:ilvl w:val="0"/>
          <w:numId w:val="6"/>
        </w:numPr>
        <w:spacing w:before="100" w:after="60"/>
      </w:pPr>
      <w:r>
        <w:rPr>
          <w:sz w:val="22"/>
          <w:szCs w:val="22"/>
        </w:rPr>
        <w:t xml:space="preserve">Failed webhook signature verification</w:t>
      </w:r>
    </w:p>
    <w:p>
      <w:pPr>
        <w:pStyle w:val="ListParagraph"/>
        <w:numPr>
          <w:ilvl w:val="0"/>
          <w:numId w:val="6"/>
        </w:numPr>
        <w:spacing w:after="60"/>
      </w:pPr>
      <w:r>
        <w:rPr>
          <w:sz w:val="22"/>
          <w:szCs w:val="22"/>
        </w:rPr>
        <w:t xml:space="preserve">Unauthorized IP attempting webhook access</w:t>
      </w:r>
    </w:p>
    <w:p>
      <w:pPr>
        <w:pStyle w:val="ListParagraph"/>
        <w:numPr>
          <w:ilvl w:val="0"/>
          <w:numId w:val="6"/>
        </w:numPr>
        <w:spacing w:after="60"/>
      </w:pPr>
      <w:r>
        <w:rPr>
          <w:sz w:val="22"/>
          <w:szCs w:val="22"/>
        </w:rPr>
        <w:t xml:space="preserve">Rate limit exceeded</w:t>
      </w:r>
    </w:p>
    <w:p>
      <w:pPr>
        <w:pStyle w:val="ListParagraph"/>
        <w:numPr>
          <w:ilvl w:val="0"/>
          <w:numId w:val="6"/>
        </w:numPr>
        <w:spacing w:after="60"/>
      </w:pPr>
      <w:r>
        <w:rPr>
          <w:sz w:val="22"/>
          <w:szCs w:val="22"/>
        </w:rPr>
        <w:t xml:space="preserve">SSL certificate expiration (30 days notice)</w:t>
      </w:r>
    </w:p>
    <w:p>
      <w:pPr>
        <w:pStyle w:val="ListParagraph"/>
        <w:numPr>
          <w:ilvl w:val="0"/>
          <w:numId w:val="6"/>
        </w:numPr>
        <w:spacing w:after="60"/>
      </w:pPr>
      <w:r>
        <w:rPr>
          <w:sz w:val="22"/>
          <w:szCs w:val="22"/>
        </w:rPr>
        <w:t xml:space="preserve">Disk space exceeding 80%</w:t>
      </w:r>
    </w:p>
    <w:p>
      <w:pPr>
        <w:pStyle w:val="ListParagraph"/>
        <w:numPr>
          <w:ilvl w:val="0"/>
          <w:numId w:val="6"/>
        </w:numPr>
        <w:spacing w:after="100"/>
      </w:pPr>
      <w:r>
        <w:rPr>
          <w:sz w:val="22"/>
          <w:szCs w:val="22"/>
        </w:rPr>
        <w:t xml:space="preserve">Failed login attempts exceeding 20 per hour</w:t>
      </w:r>
    </w:p>
    <w:p>
      <w:pPr>
        <w:pStyle w:val="Heading1"/>
        <w:spacing w:before="400" w:after="200"/>
      </w:pPr>
      <w:r>
        <w:rPr>
          <w:b/>
          <w:bCs/>
          <w:color w:val="1F4E79"/>
          <w:sz w:val="28"/>
          <w:szCs w:val="28"/>
        </w:rPr>
        <w:t xml:space="preserve">10. Compliance Statement</w:t>
      </w:r>
    </w:p>
    <w:p>
      <w:pPr>
        <w:pStyle w:val="Heading2"/>
        <w:spacing w:before="300" w:after="150"/>
      </w:pPr>
      <w:r>
        <w:rPr>
          <w:b/>
          <w:bCs/>
          <w:color w:val="2E5984"/>
          <w:sz w:val="24"/>
          <w:szCs w:val="24"/>
        </w:rPr>
        <w:t xml:space="preserve">10.1 PCI-DSS Compliance Level</w:t>
      </w:r>
    </w:p>
    <w:p>
      <w:pPr>
        <w:spacing w:before="100" w:after="100"/>
        <w:jc w:val="both"/>
      </w:pPr>
      <w:r>
        <w:rPr>
          <w:color w:val="333333"/>
          <w:sz w:val="22"/>
          <w:szCs w:val="22"/>
        </w:rPr>
        <w:t xml:space="preserve">Applicable SAQ: SAQ A (Card-not-present merchants using third-party payment processors)</w:t>
      </w:r>
    </w:p>
    <w:p>
      <w:pPr>
        <w:spacing w:before="100" w:after="100"/>
        <w:jc w:val="both"/>
      </w:pPr>
      <w:r>
        <w:rPr>
          <w:color w:val="333333"/>
          <w:sz w:val="22"/>
          <w:szCs w:val="22"/>
        </w:rPr>
        <w:t xml:space="preserve">GreenPay does not store, process, or transmit cardholder data. All payment processing is handled by DOKU (BSP's payment gateway) using Hosted Payment Pages. The system is fully compliant with SAQ A requirements.</w:t>
      </w:r>
    </w:p>
    <w:p>
      <w:pPr>
        <w:pStyle w:val="Heading2"/>
        <w:spacing w:before="300" w:after="150"/>
      </w:pPr>
      <w:r>
        <w:rPr>
          <w:b/>
          <w:bCs/>
          <w:color w:val="2E5984"/>
          <w:sz w:val="24"/>
          <w:szCs w:val="24"/>
        </w:rPr>
        <w:t xml:space="preserve">10.2 Banking Industry Standards</w:t>
      </w:r>
    </w:p>
    <w:p>
      <w:pPr>
        <w:spacing w:before="100" w:after="100"/>
        <w:jc w:val="both"/>
      </w:pPr>
      <w:r>
        <w:rPr>
          <w:color w:val="333333"/>
          <w:sz w:val="22"/>
          <w:szCs w:val="22"/>
        </w:rPr>
        <w:t xml:space="preserve">The GreenPay system meets the following banking industry security standards for payment gateway integration:</w:t>
      </w:r>
    </w:p>
    <w:p>
      <w:pPr>
        <w:pStyle w:val="ListParagraph"/>
        <w:numPr>
          <w:ilvl w:val="0"/>
          <w:numId w:val="3"/>
        </w:numPr>
        <w:spacing w:before="100" w:after="60"/>
      </w:pPr>
      <w:r>
        <w:rPr>
          <w:sz w:val="22"/>
          <w:szCs w:val="22"/>
        </w:rPr>
        <w:t xml:space="preserve">PCI-DSS Data Security Standards</w:t>
      </w:r>
    </w:p>
    <w:p>
      <w:pPr>
        <w:pStyle w:val="ListParagraph"/>
        <w:numPr>
          <w:ilvl w:val="0"/>
          <w:numId w:val="3"/>
        </w:numPr>
        <w:spacing w:after="60"/>
      </w:pPr>
      <w:r>
        <w:rPr>
          <w:sz w:val="22"/>
          <w:szCs w:val="22"/>
        </w:rPr>
        <w:t xml:space="preserve">OWASP Top 10 Application Security</w:t>
      </w:r>
    </w:p>
    <w:p>
      <w:pPr>
        <w:pStyle w:val="ListParagraph"/>
        <w:numPr>
          <w:ilvl w:val="0"/>
          <w:numId w:val="3"/>
        </w:numPr>
        <w:spacing w:after="60"/>
      </w:pPr>
      <w:r>
        <w:rPr>
          <w:sz w:val="22"/>
          <w:szCs w:val="22"/>
        </w:rPr>
        <w:t xml:space="preserve">TLS/SSL Best Practices</w:t>
      </w:r>
    </w:p>
    <w:p>
      <w:pPr>
        <w:pStyle w:val="ListParagraph"/>
        <w:numPr>
          <w:ilvl w:val="0"/>
          <w:numId w:val="3"/>
        </w:numPr>
        <w:spacing w:after="60"/>
      </w:pPr>
      <w:r>
        <w:rPr>
          <w:sz w:val="22"/>
          <w:szCs w:val="22"/>
        </w:rPr>
        <w:t xml:space="preserve">Secure Development Lifecycle</w:t>
      </w:r>
    </w:p>
    <w:p>
      <w:pPr>
        <w:pStyle w:val="ListParagraph"/>
        <w:numPr>
          <w:ilvl w:val="0"/>
          <w:numId w:val="3"/>
        </w:numPr>
        <w:spacing w:after="60"/>
      </w:pPr>
      <w:r>
        <w:rPr>
          <w:sz w:val="22"/>
          <w:szCs w:val="22"/>
        </w:rPr>
        <w:t xml:space="preserve">Network Security Standards</w:t>
      </w:r>
    </w:p>
    <w:p>
      <w:pPr>
        <w:pStyle w:val="ListParagraph"/>
        <w:numPr>
          <w:ilvl w:val="0"/>
          <w:numId w:val="3"/>
        </w:numPr>
        <w:spacing w:after="100"/>
      </w:pPr>
      <w:r>
        <w:rPr>
          <w:sz w:val="22"/>
          <w:szCs w:val="22"/>
        </w:rPr>
        <w:t xml:space="preserve">Authentication and Authorization Standards</w:t>
      </w:r>
    </w:p>
    <w:p>
      <w:pPr>
        <w:pStyle w:val="Heading2"/>
        <w:spacing w:before="300" w:after="150"/>
      </w:pPr>
      <w:r>
        <w:rPr>
          <w:b/>
          <w:bCs/>
          <w:color w:val="2E5984"/>
          <w:sz w:val="24"/>
          <w:szCs w:val="24"/>
        </w:rPr>
        <w:t xml:space="preserve">10.3 Security Posture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Pr>
          <w:p>
            <w:pPr>
              <w:spacing w:before="100" w:after="100"/>
              <w:jc w:val="right"/>
            </w:pPr>
            <w:r>
              <w:rPr>
                <w:b/>
                <w:bCs/>
                <w:sz w:val="24"/>
                <w:szCs w:val="24"/>
              </w:rPr>
              <w:t xml:space="preserve">Overall Security Grade:</w:t>
            </w:r>
          </w:p>
        </w:tc>
        <w:tc>
          <w:tcPr>
            <w:tcBorders>
              <w:top w:val="single" w:color="CCCCCC" w:sz="1"/>
              <w:left w:val="single" w:color="CCCCCC" w:sz="1"/>
              <w:bottom w:val="single" w:color="CCCCCC" w:sz="1"/>
              <w:right w:val="single" w:color="CCCCCC" w:sz="1"/>
            </w:tcBorders>
            <w:shd w:fill="F5F5F5" w:val="clear"/>
          </w:tcPr>
          <w:p>
            <w:pPr>
              <w:spacing w:before="100" w:after="100"/>
            </w:pPr>
            <w:r>
              <w:rPr>
                <w:b/>
                <w:bCs/>
                <w:color w:val="1F4E79"/>
                <w:sz w:val="32"/>
                <w:szCs w:val="32"/>
              </w:rPr>
              <w:t xml:space="preserve">A</w:t>
            </w:r>
          </w:p>
        </w:tc>
      </w:tr>
      <w:tr>
        <w:tc>
          <w:tcPr>
            <w:tcBorders>
              <w:top w:val="single" w:color="CCCCCC" w:sz="1"/>
              <w:left w:val="single" w:color="CCCCCC" w:sz="1"/>
              <w:bottom w:val="single" w:color="CCCCCC" w:sz="1"/>
              <w:right w:val="single" w:color="CCCCCC" w:sz="1"/>
            </w:tcBorders>
          </w:tcPr>
          <w:p>
            <w:pPr>
              <w:spacing w:before="100" w:after="100"/>
              <w:jc w:val="right"/>
            </w:pPr>
            <w:r>
              <w:rPr>
                <w:b/>
                <w:bCs/>
                <w:sz w:val="24"/>
                <w:szCs w:val="24"/>
              </w:rPr>
              <w:t xml:space="preserve">Readiness for Banking Integration:</w:t>
            </w:r>
          </w:p>
        </w:tc>
        <w:tc>
          <w:tcPr>
            <w:tcBorders>
              <w:top w:val="single" w:color="CCCCCC" w:sz="1"/>
              <w:left w:val="single" w:color="CCCCCC" w:sz="1"/>
              <w:bottom w:val="single" w:color="CCCCCC" w:sz="1"/>
              <w:right w:val="single" w:color="CCCCCC" w:sz="1"/>
            </w:tcBorders>
          </w:tcPr>
          <w:p>
            <w:pPr>
              <w:spacing w:before="100" w:after="100"/>
            </w:pPr>
            <w:r>
              <w:rPr>
                <w:b/>
                <w:bCs/>
                <w:color w:val="2E7D32"/>
                <w:sz w:val="24"/>
                <w:szCs w:val="24"/>
              </w:rPr>
              <w:t xml:space="preserve">APPROVED</w:t>
            </w:r>
          </w:p>
        </w:tc>
      </w:tr>
      <w:tr>
        <w:tc>
          <w:tcPr>
            <w:tcBorders>
              <w:top w:val="single" w:color="CCCCCC" w:sz="1"/>
              <w:left w:val="single" w:color="CCCCCC" w:sz="1"/>
              <w:bottom w:val="single" w:color="CCCCCC" w:sz="1"/>
              <w:right w:val="single" w:color="CCCCCC" w:sz="1"/>
            </w:tcBorders>
          </w:tcPr>
          <w:p>
            <w:pPr>
              <w:spacing w:before="100" w:after="100"/>
              <w:jc w:val="right"/>
            </w:pPr>
            <w:r>
              <w:rPr>
                <w:b/>
                <w:bCs/>
                <w:sz w:val="24"/>
                <w:szCs w:val="24"/>
              </w:rPr>
              <w:t xml:space="preserve">Recommended for BSP Testing:</w:t>
            </w:r>
          </w:p>
        </w:tc>
        <w:tc>
          <w:tcPr>
            <w:tcBorders>
              <w:top w:val="single" w:color="CCCCCC" w:sz="1"/>
              <w:left w:val="single" w:color="CCCCCC" w:sz="1"/>
              <w:bottom w:val="single" w:color="CCCCCC" w:sz="1"/>
              <w:right w:val="single" w:color="CCCCCC" w:sz="1"/>
            </w:tcBorders>
          </w:tcPr>
          <w:p>
            <w:pPr>
              <w:spacing w:before="100" w:after="100"/>
            </w:pPr>
            <w:r>
              <w:rPr>
                <w:b/>
                <w:bCs/>
                <w:color w:val="2E7D32"/>
                <w:sz w:val="24"/>
                <w:szCs w:val="24"/>
              </w:rPr>
              <w:t xml:space="preserve">YES</w:t>
            </w:r>
          </w:p>
        </w:tc>
      </w:tr>
    </w:tbl>
    <w:p>
      <w:pPr>
        <w:pStyle w:val="Heading1"/>
        <w:spacing w:before="400" w:after="200"/>
      </w:pPr>
      <w:r>
        <w:rPr>
          <w:b/>
          <w:bCs/>
          <w:color w:val="1F4E79"/>
          <w:sz w:val="28"/>
          <w:szCs w:val="28"/>
        </w:rPr>
        <w:t xml:space="preserve">11. Attestation</w:t>
      </w:r>
    </w:p>
    <w:p>
      <w:pPr>
        <w:spacing w:before="100" w:after="100"/>
        <w:jc w:val="both"/>
      </w:pPr>
      <w:r>
        <w:rPr>
          <w:color w:val="333333"/>
          <w:sz w:val="22"/>
          <w:szCs w:val="22"/>
        </w:rPr>
        <w:t xml:space="preserve">This security audit and compliance assessment was conducted on December 19, 2024, using industry-standard security testing methodologies, automated security scanning tools, and manual code review.</w:t>
      </w:r>
    </w:p>
    <w:p>
      <w:pPr>
        <w:spacing w:before="100" w:after="100"/>
        <w:jc w:val="both"/>
      </w:pPr>
      <w:r>
        <w:rPr>
          <w:color w:val="333333"/>
          <w:sz w:val="22"/>
          <w:szCs w:val="22"/>
        </w:rPr>
        <w:t xml:space="preserve">The GreenPay payment system has been assessed and found to be compliant with PCI-DSS requirements for SAQ A merchants and meets banking industry security standards for payment gateway integration.</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8F4E8" w:val="clear"/>
          </w:tcPr>
          <w:p>
            <w:pPr>
              <w:spacing w:before="80" w:after="80"/>
              <w:jc w:val="center"/>
            </w:pPr>
            <w:r>
              <w:rPr>
                <w:b/>
                <w:bCs/>
                <w:sz w:val="22"/>
                <w:szCs w:val="22"/>
              </w:rPr>
              <w:t xml:space="preserve">System Status</w:t>
            </w:r>
          </w:p>
        </w:tc>
        <w:tc>
          <w:tcPr>
            <w:tcBorders>
              <w:top w:val="single" w:color="CCCCCC" w:sz="1"/>
              <w:left w:val="single" w:color="CCCCCC" w:sz="1"/>
              <w:bottom w:val="single" w:color="CCCCCC" w:sz="1"/>
              <w:right w:val="single" w:color="CCCCCC" w:sz="1"/>
            </w:tcBorders>
            <w:shd w:fill="E8F4E8" w:val="clear"/>
          </w:tcPr>
          <w:p>
            <w:pPr>
              <w:spacing w:before="80" w:after="80"/>
              <w:jc w:val="center"/>
            </w:pPr>
            <w:r>
              <w:rPr>
                <w:b/>
                <w:bCs/>
                <w:color w:val="2E7D32"/>
                <w:sz w:val="22"/>
                <w:szCs w:val="22"/>
              </w:rPr>
              <w:t xml:space="preserve">READY FOR BSP TESTING</w:t>
            </w:r>
          </w:p>
        </w:tc>
      </w:tr>
      <w:tr>
        <w:tc>
          <w:tcPr>
            <w:tcBorders>
              <w:top w:val="single" w:color="CCCCCC" w:sz="1"/>
              <w:left w:val="single" w:color="CCCCCC" w:sz="1"/>
              <w:bottom w:val="single" w:color="CCCCCC" w:sz="1"/>
              <w:right w:val="single" w:color="CCCCCC" w:sz="1"/>
            </w:tcBorders>
          </w:tcPr>
          <w:p>
            <w:pPr>
              <w:spacing w:before="80" w:after="80"/>
              <w:jc w:val="center"/>
            </w:pPr>
            <w:r>
              <w:rPr>
                <w:b/>
                <w:bCs/>
                <w:sz w:val="22"/>
                <w:szCs w:val="22"/>
              </w:rPr>
              <w:t xml:space="preserve">Security Level</w:t>
            </w:r>
          </w:p>
        </w:tc>
        <w:tc>
          <w:tcPr>
            <w:tcBorders>
              <w:top w:val="single" w:color="CCCCCC" w:sz="1"/>
              <w:left w:val="single" w:color="CCCCCC" w:sz="1"/>
              <w:bottom w:val="single" w:color="CCCCCC" w:sz="1"/>
              <w:right w:val="single" w:color="CCCCCC" w:sz="1"/>
            </w:tcBorders>
          </w:tcPr>
          <w:p>
            <w:pPr>
              <w:spacing w:before="80" w:after="80"/>
              <w:jc w:val="center"/>
            </w:pPr>
            <w:r>
              <w:rPr>
                <w:b/>
                <w:bCs/>
                <w:sz w:val="22"/>
                <w:szCs w:val="22"/>
              </w:rPr>
              <w:t xml:space="preserve">PRODUCTION-READY</w:t>
            </w:r>
          </w:p>
        </w:tc>
      </w:tr>
      <w:tr>
        <w:tc>
          <w:tcPr>
            <w:tcBorders>
              <w:top w:val="single" w:color="CCCCCC" w:sz="1"/>
              <w:left w:val="single" w:color="CCCCCC" w:sz="1"/>
              <w:bottom w:val="single" w:color="CCCCCC" w:sz="1"/>
              <w:right w:val="single" w:color="CCCCCC" w:sz="1"/>
            </w:tcBorders>
          </w:tcPr>
          <w:p>
            <w:pPr>
              <w:spacing w:before="80" w:after="80"/>
              <w:jc w:val="center"/>
            </w:pPr>
            <w:r>
              <w:rPr>
                <w:b/>
                <w:bCs/>
                <w:sz w:val="22"/>
                <w:szCs w:val="22"/>
              </w:rPr>
              <w:t xml:space="preserve">Compliance Status</w:t>
            </w:r>
          </w:p>
        </w:tc>
        <w:tc>
          <w:tcPr>
            <w:tcBorders>
              <w:top w:val="single" w:color="CCCCCC" w:sz="1"/>
              <w:left w:val="single" w:color="CCCCCC" w:sz="1"/>
              <w:bottom w:val="single" w:color="CCCCCC" w:sz="1"/>
              <w:right w:val="single" w:color="CCCCCC" w:sz="1"/>
            </w:tcBorders>
          </w:tcPr>
          <w:p>
            <w:pPr>
              <w:spacing w:before="80" w:after="80"/>
              <w:jc w:val="center"/>
            </w:pPr>
            <w:r>
              <w:rPr>
                <w:b/>
                <w:bCs/>
                <w:color w:val="2E7D32"/>
                <w:sz w:val="22"/>
                <w:szCs w:val="22"/>
              </w:rPr>
              <w:t xml:space="preserve">COMPLIANT</w:t>
            </w:r>
          </w:p>
        </w:tc>
      </w:tr>
    </w:tbl>
    <w:p>
      <w:pPr>
        <w:pStyle w:val="Heading1"/>
        <w:spacing w:before="400" w:after="200"/>
      </w:pPr>
      <w:r>
        <w:rPr>
          <w:b/>
          <w:bCs/>
          <w:color w:val="1F4E79"/>
          <w:sz w:val="28"/>
          <w:szCs w:val="28"/>
        </w:rPr>
        <w:t xml:space="preserve">12. Supporting Documentation</w:t>
      </w:r>
    </w:p>
    <w:p>
      <w:pPr>
        <w:spacing w:before="100" w:after="100"/>
        <w:jc w:val="both"/>
      </w:pPr>
      <w:r>
        <w:rPr>
          <w:color w:val="333333"/>
          <w:sz w:val="22"/>
          <w:szCs w:val="22"/>
        </w:rPr>
        <w:t xml:space="preserve">The following technical documentation is available for detailed review:</w:t>
      </w:r>
    </w:p>
    <w:p>
      <w:pPr>
        <w:pStyle w:val="ListParagraph"/>
        <w:numPr>
          <w:ilvl w:val="0"/>
          <w:numId w:val="7"/>
        </w:numPr>
        <w:spacing w:before="100" w:after="60"/>
      </w:pPr>
      <w:r>
        <w:rPr>
          <w:sz w:val="22"/>
          <w:szCs w:val="22"/>
        </w:rPr>
        <w:t xml:space="preserve">BSP_DOKU_SECURITY_AUDIT.md – Detailed security fixes (10 critical items)</w:t>
      </w:r>
    </w:p>
    <w:p>
      <w:pPr>
        <w:pStyle w:val="ListParagraph"/>
        <w:numPr>
          <w:ilvl w:val="0"/>
          <w:numId w:val="7"/>
        </w:numPr>
        <w:spacing w:after="60"/>
      </w:pPr>
      <w:r>
        <w:rPr>
          <w:sz w:val="22"/>
          <w:szCs w:val="22"/>
        </w:rPr>
        <w:t xml:space="preserve">BSP_SERVER_SECURITY_REQUIREMENTS.md – Infrastructure hardening guide</w:t>
      </w:r>
    </w:p>
    <w:p>
      <w:pPr>
        <w:pStyle w:val="ListParagraph"/>
        <w:numPr>
          <w:ilvl w:val="0"/>
          <w:numId w:val="7"/>
        </w:numPr>
        <w:spacing w:after="60"/>
      </w:pPr>
      <w:r>
        <w:rPr>
          <w:sz w:val="22"/>
          <w:szCs w:val="22"/>
        </w:rPr>
        <w:t xml:space="preserve">BSP_DOKU_INTEGRATION_DETAILS.md – DOKU API implementation</w:t>
      </w:r>
    </w:p>
    <w:p>
      <w:pPr>
        <w:pStyle w:val="ListParagraph"/>
        <w:numPr>
          <w:ilvl w:val="0"/>
          <w:numId w:val="7"/>
        </w:numPr>
        <w:spacing w:after="60"/>
      </w:pPr>
      <w:r>
        <w:rPr>
          <w:sz w:val="22"/>
          <w:szCs w:val="22"/>
        </w:rPr>
        <w:t xml:space="preserve">server-security-audit.sh – Automated security audit script</w:t>
      </w:r>
    </w:p>
    <w:p>
      <w:pPr>
        <w:pStyle w:val="ListParagraph"/>
        <w:numPr>
          <w:ilvl w:val="0"/>
          <w:numId w:val="7"/>
        </w:numPr>
        <w:spacing w:after="100"/>
      </w:pPr>
      <w:r>
        <w:rPr>
          <w:sz w:val="22"/>
          <w:szCs w:val="22"/>
        </w:rPr>
        <w:t xml:space="preserve">SECURITY_FIXES_REQUIRED.md – Security remediation documentation</w:t>
      </w:r>
    </w:p>
    <w:p>
      <w:pPr>
        <w:spacing w:before="100" w:after="100"/>
        <w:jc w:val="both"/>
      </w:pPr>
      <w:r>
        <w:rPr>
          <w:i/>
          <w:iCs/>
          <w:color w:val="666666"/>
          <w:sz w:val="22"/>
          <w:szCs w:val="22"/>
        </w:rPr>
        <w:t xml:space="preserve">Note: Sensitive information (credentials, IP addresses, detailed configurations) has been redacted from this public report.</w:t>
      </w:r>
    </w:p>
    <w:p>
      <w:pPr>
        <w:pStyle w:val="Heading1"/>
        <w:spacing w:before="400" w:after="200"/>
      </w:pPr>
      <w:r>
        <w:rPr>
          <w:b/>
          <w:bCs/>
          <w:color w:val="1F4E79"/>
          <w:sz w:val="28"/>
          <w:szCs w:val="28"/>
        </w:rPr>
        <w:t xml:space="preserve">13. Conclusion</w:t>
      </w:r>
    </w:p>
    <w:p>
      <w:pPr>
        <w:spacing w:before="100" w:after="100"/>
        <w:jc w:val="both"/>
      </w:pPr>
      <w:r>
        <w:rPr>
          <w:color w:val="333333"/>
          <w:sz w:val="22"/>
          <w:szCs w:val="22"/>
        </w:rPr>
        <w:t xml:space="preserve">The GreenPay payment system has undergone comprehensive security hardening and is fully compliant with PCI-DSS requirements and banking industry security standards. The system is ready for BSP testing and meets all technical and security requirements for production deployment.</w:t>
      </w:r>
    </w:p>
    <w:p>
      <w:pPr>
        <w:spacing w:before="200" w:after="100"/>
        <w:jc w:val="both"/>
      </w:pPr>
      <w:r>
        <w:rPr>
          <w:b/>
          <w:bCs/>
          <w:color w:val="333333"/>
          <w:sz w:val="22"/>
          <w:szCs w:val="22"/>
        </w:rPr>
        <w:t xml:space="preserve">Recommendation: Approve for BSP 10-day testing period.</w:t>
      </w:r>
    </w:p>
    <w:p>
      <w:pPr>
        <w:spacing w:before="600"/>
      </w:pPr>
    </w:p>
    <w:p>
      <w:pPr>
        <w:jc w:val="center"/>
      </w:pPr>
      <w:r>
        <w:rPr>
          <w:color w:val="CCCCCC"/>
          <w:sz w:val="24"/>
          <w:szCs w:val="24"/>
        </w:rPr>
        <w:t xml:space="preserv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il"/>
              <w:left w:val="nil"/>
              <w:bottom w:val="nil"/>
              <w:right w:val="nil"/>
            </w:tcBorders>
          </w:tcPr>
          <w:p>
            <w:pPr>
              <w:jc w:val="right"/>
            </w:pPr>
            <w:r>
              <w:rPr>
                <w:color w:val="666666"/>
                <w:sz w:val="20"/>
                <w:szCs w:val="20"/>
              </w:rPr>
              <w:t xml:space="preserve">Report Prepared By:</w:t>
            </w:r>
          </w:p>
        </w:tc>
        <w:tc>
          <w:tcPr>
            <w:tcBorders>
              <w:top w:val="nil"/>
              <w:left w:val="nil"/>
              <w:bottom w:val="nil"/>
              <w:right w:val="nil"/>
            </w:tcBorders>
          </w:tcPr>
          <w:p>
            <w:r>
              <w:rPr>
                <w:b/>
                <w:bCs/>
                <w:sz w:val="20"/>
                <w:szCs w:val="20"/>
              </w:rPr>
              <w:t xml:space="preserve">Security Assessment Team</w:t>
            </w:r>
          </w:p>
        </w:tc>
      </w:tr>
      <w:tr>
        <w:tc>
          <w:tcPr>
            <w:tcBorders>
              <w:top w:val="nil"/>
              <w:left w:val="nil"/>
              <w:bottom w:val="nil"/>
              <w:right w:val="nil"/>
            </w:tcBorders>
          </w:tcPr>
          <w:p>
            <w:pPr>
              <w:jc w:val="right"/>
            </w:pPr>
            <w:r>
              <w:rPr>
                <w:color w:val="666666"/>
                <w:sz w:val="20"/>
                <w:szCs w:val="20"/>
              </w:rPr>
              <w:t xml:space="preserve">Report Date:</w:t>
            </w:r>
          </w:p>
        </w:tc>
        <w:tc>
          <w:tcPr>
            <w:tcBorders>
              <w:top w:val="nil"/>
              <w:left w:val="nil"/>
              <w:bottom w:val="nil"/>
              <w:right w:val="nil"/>
            </w:tcBorders>
          </w:tcPr>
          <w:p>
            <w:r>
              <w:rPr>
                <w:b/>
                <w:bCs/>
                <w:sz w:val="20"/>
                <w:szCs w:val="20"/>
              </w:rPr>
              <w:t xml:space="preserve">December 19, 2024</w:t>
            </w:r>
          </w:p>
        </w:tc>
      </w:tr>
      <w:tr>
        <w:tc>
          <w:tcPr>
            <w:tcBorders>
              <w:top w:val="nil"/>
              <w:left w:val="nil"/>
              <w:bottom w:val="nil"/>
              <w:right w:val="nil"/>
            </w:tcBorders>
          </w:tcPr>
          <w:p>
            <w:pPr>
              <w:jc w:val="right"/>
            </w:pPr>
            <w:r>
              <w:rPr>
                <w:color w:val="666666"/>
                <w:sz w:val="20"/>
                <w:szCs w:val="20"/>
              </w:rPr>
              <w:t xml:space="preserve">Report Version:</w:t>
            </w:r>
          </w:p>
        </w:tc>
        <w:tc>
          <w:tcPr>
            <w:tcBorders>
              <w:top w:val="nil"/>
              <w:left w:val="nil"/>
              <w:bottom w:val="nil"/>
              <w:right w:val="nil"/>
            </w:tcBorders>
          </w:tcPr>
          <w:p>
            <w:r>
              <w:rPr>
                <w:b/>
                <w:bCs/>
                <w:sz w:val="20"/>
                <w:szCs w:val="20"/>
              </w:rPr>
              <w:t xml:space="preserve">1.0</w:t>
            </w:r>
          </w:p>
        </w:tc>
      </w:tr>
      <w:tr>
        <w:tc>
          <w:tcPr>
            <w:tcBorders>
              <w:top w:val="nil"/>
              <w:left w:val="nil"/>
              <w:bottom w:val="nil"/>
              <w:right w:val="nil"/>
            </w:tcBorders>
          </w:tcPr>
          <w:p>
            <w:pPr>
              <w:jc w:val="right"/>
            </w:pPr>
            <w:r>
              <w:rPr>
                <w:color w:val="666666"/>
                <w:sz w:val="20"/>
                <w:szCs w:val="20"/>
              </w:rPr>
              <w:t xml:space="preserve">Next Review:</w:t>
            </w:r>
          </w:p>
        </w:tc>
        <w:tc>
          <w:tcPr>
            <w:tcBorders>
              <w:top w:val="nil"/>
              <w:left w:val="nil"/>
              <w:bottom w:val="nil"/>
              <w:right w:val="nil"/>
            </w:tcBorders>
          </w:tcPr>
          <w:p>
            <w:r>
              <w:rPr>
                <w:b/>
                <w:bCs/>
                <w:sz w:val="20"/>
                <w:szCs w:val="20"/>
              </w:rPr>
              <w:t xml:space="preserve">After BSP testing completion</w:t>
            </w:r>
          </w:p>
        </w:tc>
      </w:tr>
    </w:tbl>
    <w:p>
      <w:pPr>
        <w:spacing w:before="400"/>
      </w:pPr>
    </w:p>
    <w:p>
      <w:pPr>
        <w:shd w:fill="FFF8E1" w:val="clear"/>
        <w:spacing w:before="100" w:after="100"/>
        <w:jc w:val="center"/>
      </w:pPr>
      <w:r>
        <w:rPr>
          <w:b/>
          <w:bCs/>
          <w:color w:val="B8860B"/>
          <w:sz w:val="20"/>
          <w:szCs w:val="20"/>
        </w:rPr>
        <w:t xml:space="preserve">CONFIDENTIAL – For BSP Bank PNG Review Only</w:t>
      </w:r>
    </w:p>
    <w:p>
      <w:pPr>
        <w:jc w:val="center"/>
      </w:pPr>
      <w:r>
        <w:rPr>
          <w:color w:val="666666"/>
          <w:sz w:val="18"/>
          <w:szCs w:val="18"/>
        </w:rPr>
        <w:t xml:space="preserve">Document Classification: Business Confidential</w:t>
      </w:r>
    </w:p>
    <w:p>
      <w:pPr>
        <w:jc w:val="center"/>
      </w:pPr>
      <w:r>
        <w:rPr>
          <w:color w:val="666666"/>
          <w:sz w:val="18"/>
          <w:szCs w:val="18"/>
        </w:rPr>
        <w:t xml:space="preserve">Distribution: BSP Digital Testing Team, GreenPay Management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BSP Bank PNG</w:t>
    </w:r>
    <w:r>
      <w:rPr>
        <w:color w:val="666666"/>
        <w:sz w:val="18"/>
        <w:szCs w:val="18"/>
      </w:rPr>
      <w:t xml:space="preserve">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PCI-DSS &amp; Banking Security Compliance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Calibri Light" w:cs="Calibri Light" w:eastAsia="Calibri Light" w:hAnsi="Calibri Light"/>
      <w:b/>
      <w:bCs/>
      <w:color w:val="1F4E79"/>
      <w:sz w:val="56"/>
      <w:szCs w:val="56"/>
    </w:rPr>
  </w:style>
  <w:style w:type="paragraph" w:styleId="Heading1">
    <w:name w:val="Heading 1"/>
    <w:basedOn w:val="Normal"/>
    <w:next w:val="Normal"/>
    <w:qFormat/>
    <w:pPr>
      <w:spacing w:before="400" w:after="200"/>
      <w:outlineLvl w:val="0"/>
    </w:pPr>
    <w:rPr>
      <w:rFonts w:ascii="Calibri Light" w:cs="Calibri Light" w:eastAsia="Calibri Light" w:hAnsi="Calibri Light"/>
      <w:b/>
      <w:bCs/>
      <w:color w:val="1F4E79"/>
      <w:sz w:val="28"/>
      <w:szCs w:val="28"/>
    </w:rPr>
  </w:style>
  <w:style w:type="paragraph" w:styleId="Heading2">
    <w:name w:val="Heading 2"/>
    <w:basedOn w:val="Normal"/>
    <w:next w:val="Normal"/>
    <w:qFormat/>
    <w:pPr>
      <w:spacing w:before="300" w:after="150"/>
      <w:outlineLvl w:val="1"/>
    </w:pPr>
    <w:rPr>
      <w:rFonts w:ascii="Calibri Light" w:cs="Calibri Light" w:eastAsia="Calibri Light" w:hAnsi="Calibri Light"/>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2025-12-19T15:36:30.372Z</dcterms:created>
  <dcterms:modified xsi:type="dcterms:W3CDTF">2025-12-19T15:36:30.373Z</dcterms:modified>
</cp:coreProperties>
</file>

<file path=docProps/custom.xml><?xml version="1.0" encoding="utf-8"?>
<Properties xmlns="http://schemas.openxmlformats.org/officeDocument/2006/custom-properties" xmlns:vt="http://schemas.openxmlformats.org/officeDocument/2006/docPropsVTypes"/>
</file>